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ANTAL</w:t>
            </w:r>
          </w:p>
          <w:p w:rsidR="00C275A3" w:rsidRDefault="00A96AEC" w:rsidP="00C275A3">
            <w:pPr>
              <w:pStyle w:val="Hallgatokepzes"/>
            </w:pPr>
            <w:r>
              <w:t>International studies</w:t>
            </w:r>
            <w:r>
              <w:br/>
            </w:r>
            <w:r w:rsidR="00E77B23">
              <w:t>BA, 3.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Balogh</w:t>
            </w:r>
          </w:p>
          <w:p w:rsidR="00DB4822" w:rsidRDefault="00DB4822" w:rsidP="00E11062">
            <w:pPr>
              <w:pStyle w:val="Konzulensek"/>
            </w:pPr>
            <w:r w:rsidRPr="00DB4822">
              <w:t>Head of department associate professor (university),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One nation in two states, for 41 years The relationship between the FRG and the GDR and the matter of traveling in the GDR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study is essentially trying to examine the political, economic, social and legal situation of Germany after World War II, but as a reflection of a broad analysis of the past. It reveals it as a complex process and interprets Germany’s way to its splitting: so concatenated reasons and effects could greatly help the understanding and the insight of this complex, multifaceted problem. In addition, the research also aims to show the superiority of the global politics to the national politics through this extreme example: as a matter of fact, world politics, including the emerging Cold War confrontation strongly contributed to split Germany into two pieces. In the era of the divided Germany, the study places great emphasis on the study of the relations between the two states, their weight in world politics, and their role in the international system. This means for example, the examination of German Constitutional Law texts, but political decisions, gestures, and their effects are also included. After the study of these, the research attempts to explore the issues of the parallel existence of the two German states, which brought specific difficulties to both of the states. Then, it shifts focus to the domestic policy of the GDR. The reason is simple: while the FRG became a "Western", capitalistic, democratic state, the GDR turned into a Soviet-style, one-party, non-democratic state with planned economy, in which even the basic human rights were disregarded. That is an interesting contrast between the two states, which actually included the same nation. Rights violations suffered by people living in the GDR are being explored by the interpretation of law texts, many extreme cases are analyzed. In addition, the study presents the "German-German relations" become rigid, and features the "inner german border"’s build-up as well. To increase the credibility of the study, a large amount of German resources were used up while researching. Although the topic of the research and its resources are located in the past, the achievements and it’s brought up thoughts acquire meaning nowadays. Many of such problems arise in the study, which people because of today’s regionalisating political system and within the framework of the democratic rule of law cannot understand. Germany’s splitting’s effects can still be felt in the contemporary German society, and it is even one of the most significant fractures. The research attempts to search for the source of this fracture.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310646">
    <w:multiLevelType w:val="hybridMultilevel"/>
    <w:lvl w:ilvl="0" w:tplc="926652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310646">
    <w:abstractNumId w:val="653106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71062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