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ALÍZ NAGY</w:t>
            </w:r>
          </w:p>
          <w:p w:rsidR="00C275A3" w:rsidRDefault="00A96AEC" w:rsidP="00C275A3">
            <w:pPr>
              <w:pStyle w:val="Hallgatokepzes"/>
            </w:pPr>
            <w:r>
              <w:t>international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Majtényi</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Dual citizenship, civil and political life in Transylvania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am studying the situation of the Hungarian minorities in Transylvania, stressed out by the simplified naturalisation procedure, the civil and political life. I find the subject important, because the biggest Hungarian minority lives in Transylvania, which played a significant role in their history, and thanks to the change in the national politics, their role became more relevant.</w:t>
      </w:r>
    </w:p>
    <w:p>
      <w:pPr>
        <w:pBdr/>
        <w:spacing w:before="240" w:after="240" w:line="240" w:lineRule="auto"/>
        <w:ind w:left="0" w:right="0"/>
        <w:jc w:val="left"/>
      </w:pPr>
      <w:r>
        <w:rPr>
          <w:color w:val="000000"/>
          <w:sz w:val="24"/>
          <w:szCs w:val="24"/>
        </w:rPr>
        <w:t xml:space="preserve">During the research I read the literature of the subject, got to know the institutions and organizations of the Hungarian minority, like the Centre of Democracy, the Hungarian National Council of Transylvania, and the Hungarian People’s Party of Transylvania. I had the opportunity to make interviews with the employees of these organizations. First of all I studied how the simplified naturalisation procedure is fulfilled and what the relation between the Hungarian National Council of Transylvania and the Hungarian People’s Party of Transylvania is. I compared them to the earlier Hungarian, and Romanian regulations.</w:t>
      </w:r>
    </w:p>
    <w:p>
      <w:pPr>
        <w:pBdr/>
        <w:spacing w:before="240" w:after="240" w:line="240" w:lineRule="auto"/>
        <w:ind w:left="0" w:right="0"/>
        <w:jc w:val="left"/>
      </w:pPr>
      <w:r>
        <w:rPr>
          <w:color w:val="000000"/>
          <w:sz w:val="24"/>
          <w:szCs w:val="24"/>
        </w:rPr>
        <w:t xml:space="preserve">The change in Hungarian national politics influenced the Transylvanian political life as well. The Hungarian government rolled away from the largest Hungarian political party of Transylvania. This led to another relationship with the Hungarian National Council of Transylvania, and the Hungarian People’s Party of Transylvania.</w:t>
      </w:r>
    </w:p>
    <w:p>
      <w:pPr>
        <w:pBdr/>
        <w:spacing w:before="240" w:after="240" w:line="240" w:lineRule="auto"/>
        <w:ind w:left="0" w:right="0"/>
        <w:jc w:val="left"/>
      </w:pPr>
      <w:r>
        <w:rPr>
          <w:color w:val="000000"/>
          <w:sz w:val="24"/>
          <w:szCs w:val="24"/>
        </w:rPr>
        <w:t xml:space="preserve">In summary I suppose that the relation between the Hungarian government and the Hungarian National Council of Transylvania, and the Hungarian People’s Party of Transylvania is a political decision, which is profitable for both sides.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24036">
    <w:multiLevelType w:val="hybridMultilevel"/>
    <w:lvl w:ilvl="0" w:tplc="97413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24036">
    <w:abstractNumId w:val="49124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014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