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CSÁKVÁRI</w:t>
            </w:r>
          </w:p>
          <w:p w:rsidR="00C275A3" w:rsidRDefault="00A96AEC" w:rsidP="00C275A3">
            <w:pPr>
              <w:pStyle w:val="Hallgatokepzes"/>
            </w:pPr>
            <w:r>
              <w:t>Software Information Technologist</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ZOLTÁN TŐSÉR</w:t>
            </w:r>
          </w:p>
          <w:p w:rsidR="00DB4822" w:rsidRDefault="00C275A3" w:rsidP="004D7940">
            <w:pPr>
              <w:pStyle w:val="Hallgatokepzes"/>
            </w:pPr>
            <w:r>
              <w:t>Software Information Technologist</w:t>
            </w:r>
            <w:r w:rsidR="00A96AEC">
              <w:br/>
              <w:t>MSc, 3.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Informatics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Lőrincz</w:t>
            </w:r>
          </w:p>
          <w:p w:rsidR="00DB4822" w:rsidRDefault="00DB4822" w:rsidP="00E11062">
            <w:pPr>
              <w:pStyle w:val="Konzulensek"/>
            </w:pPr>
            <w:r w:rsidRPr="00DB4822">
              <w:t>head senior researcher,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Analytical tools for the evaluation of progress and entertainment level during educational games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Playful learning is an important technique for making children motivated in developing their cognitive skills. We have studied a set of educational minigames teaching inductive reasoning. The game has been embedded into a frame game that may change the stress level and the entertainment level. Logs of the games were collected and children were monitored during the game using webcams. The collected videos were analyzed in the context of the game. We developed and used a constrained local model in C++ for the analysis of head pose, facial expression, and eye movement variations. Preliminary results are presented about the diverse behaviours of the children.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583712">
    <w:multiLevelType w:val="hybridMultilevel"/>
    <w:lvl w:ilvl="0" w:tplc="912162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583712">
    <w:abstractNumId w:val="155837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59658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