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HACK JÁNOS</w:t>
            </w:r>
          </w:p>
          <w:p w:rsidR="00C275A3" w:rsidRDefault="00A96AEC" w:rsidP="00C275A3">
            <w:pPr>
              <w:pStyle w:val="Hallgatokepzes"/>
            </w:pPr>
            <w:r>
              <w:t>Programtervező informatikus BSc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Szűgyi Zalán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Kód visszagenerálása nyelvfüggetlen AST alapján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szoftverfejlesztésében egyre több időt és erőfeszítést igényel a nagy, ipari méretű programkódok megértése, karbantartása, továbbfejlesztése. A forráskód mint szövegfájl önmagában kevéssé</w:t>
      </w:r>
      <w:r>
        <w:rPr>
          <w:color w:val="000000"/>
          <w:sz w:val="24"/>
          <w:szCs w:val="24"/>
        </w:rPr>
        <w:br/>
        <w:t xml:space="preserve">alkalmas arra, hogy számításokat, transzformációkat hajtsunk végre rajta, ezért szükséges, hogy vele ekvivalens, de algoritmikus szempontból könnyebben</w:t>
      </w:r>
      <w:r>
        <w:rPr>
          <w:color w:val="000000"/>
          <w:sz w:val="24"/>
          <w:szCs w:val="24"/>
        </w:rPr>
        <w:br/>
        <w:t xml:space="preserve">kezelhető formára hozzuk. Egy ilyen forma az absztrakt szintaxisfa (AST).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nyelvfüggetlen absztrakt szintaxisfák bemenetül szolgálnak a különböző szoftverkarbantartást segítő eszközöknek. Az ilyen programok átalakításokat végeznek, az ilyen átalakított programot szeretnénk módosítani, továbbfejleszteni, akkor szükséges, hogy a transzformált AST-t visszaalakítsuk forráskóddá.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egy rugalmas, egyszerűen kezelhető, könnyen kibővíthető, általános keretrendszer megalkotása, amely lehetővé teszi, hogy szintaktikusan helyes forráskódot</w:t>
      </w:r>
      <w:r>
        <w:rPr>
          <w:color w:val="000000"/>
          <w:sz w:val="24"/>
          <w:szCs w:val="24"/>
        </w:rPr>
        <w:br/>
        <w:t xml:space="preserve">generáljunk a nyelvfüggetlen AST-ből az eredeti programozási nyelvre. E keretrendszerhez definiálok egy leíró nyelvet amely segítségével minden általunk kezelni kívánt</w:t>
      </w:r>
      <w:r>
        <w:rPr>
          <w:color w:val="000000"/>
          <w:sz w:val="24"/>
          <w:szCs w:val="24"/>
        </w:rPr>
        <w:br/>
        <w:t xml:space="preserve">programozási nyelvhez meghatározhatjuk, hogy hogyan történjen a kód visszagenerálása. Ezáltal a keretrendszerünk egy új nyelvvel való kibővítéséhez, elég csak a hozzá tartozó</w:t>
      </w:r>
      <w:r>
        <w:rPr>
          <w:color w:val="000000"/>
          <w:sz w:val="24"/>
          <w:szCs w:val="24"/>
        </w:rPr>
        <w:br/>
        <w:t xml:space="preserve">leírófájlt definiálni, amit dinamikusan hozzáadhatunk. A rendszer képes a szintaxisfa mellet egyéb külső, számított eredmények kezelésére is, amelyeket valamilyen módon hozzákötöttünk az AST-hez.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eredményei közé tartozik , hogy sikerült a forráskód szerkezeti rekonstrukcióját elérnem.</w:t>
      </w:r>
      <w:r>
        <w:rPr>
          <w:color w:val="000000"/>
          <w:sz w:val="24"/>
          <w:szCs w:val="24"/>
        </w:rPr>
        <w:br/>
        <w:t xml:space="preserve">Az általános AST-ből a leírt algoritmusok és struktúrák segítségével képes voltam egy új modellt előállítani, ami nem csak a forráskód teljes visszaalakítását tette lehetővé, de tetszőleges egyéb információ megjelenítését is támogatta a forráskód megjelenítése közben. A modell szerkezetéből adódóan</w:t>
      </w:r>
      <w:r>
        <w:rPr>
          <w:color w:val="000000"/>
          <w:sz w:val="24"/>
          <w:szCs w:val="24"/>
        </w:rPr>
        <w:br/>
        <w:t xml:space="preserve">a módszerhez később egyéb megjelenítés formákat is illeszthetünk, mint például struktogramszerű megjelenítés, vagy folyamatábra, vagy egyéb magasabb fokú grafikus megjelenítés.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bemutatott keretrendszer terveink szerint beépül majd, egy, az egyetemünkön fejlesztett kódmegértést</w:t>
      </w:r>
      <w:r>
        <w:rPr>
          <w:color w:val="000000"/>
          <w:sz w:val="24"/>
          <w:szCs w:val="24"/>
        </w:rPr>
        <w:br/>
        <w:t xml:space="preserve">támogató eszközbe, de a moduláris felépítésének köszönhetően más termékek is alkalmazhatják.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798979">
    <w:multiLevelType w:val="hybridMultilevel"/>
    <w:lvl w:ilvl="0" w:tplc="338568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798979">
    <w:abstractNumId w:val="327989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83326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