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KÁRAI</w:t>
            </w:r>
          </w:p>
          <w:p w:rsidR="00C275A3" w:rsidRDefault="00A96AEC" w:rsidP="00C275A3">
            <w:pPr>
              <w:pStyle w:val="Hallgatokepzes"/>
            </w:pPr>
            <w:r>
              <w:t>MA in ELT</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Csépes, Ph.D.</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Culture and the Language Classroom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Abstarct</w:t>
      </w:r>
      <w:r>
        <w:rPr>
          <w:color w:val="000000"/>
          <w:sz w:val="24"/>
          <w:szCs w:val="24"/>
        </w:rPr>
        <w:br/>
        <w:t xml:space="preserve">It might have happened to everyone who has ever been abroad that s/he gained some really bad experience in the visited country which was caused by a strange situation. This could have been a coincidence, a misunderstood sentence or an unpleasant feeling caused by an unusual habit (for a Hungarian) or tradition. These things could always happen to us when we go abroad. The phenomenon that induces these issues is culture shock. However, we can prepare and be prepared for them if we are conscious travelers (“tourists”) and not only “survivors.” The situation is much easier to be solved if we can become the “citizens” of another culture.</w:t>
      </w:r>
      <w:r>
        <w:rPr>
          <w:color w:val="000000"/>
          <w:sz w:val="24"/>
          <w:szCs w:val="24"/>
        </w:rPr>
        <w:br/>
        <w:t xml:space="preserve">All the expressions listed above in quotation marks are the so-called “steps” of a process named acculturation. The process of discovering and learning of a culture of a foreign country and beside these, the habits and language of those people who live there. This way we can become conscious travelers and “homo interculturalis.”</w:t>
      </w:r>
      <w:r>
        <w:rPr>
          <w:color w:val="000000"/>
          <w:sz w:val="24"/>
          <w:szCs w:val="24"/>
        </w:rPr>
        <w:br/>
        <w:t xml:space="preserve">In this study, I present the results of a research project that was intended to explore the relationship between the language proficiency level, the knowledge of the target-culture and the motivation related to the attitude toward learning about “new cultures” of 166 secondary school students in 4 different schools. With the help of the results I intend to gain an overview of the knowledge of the students and also highlight the importance of teaching cultural topics in secondary foreign language classes.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034999">
    <w:multiLevelType w:val="hybridMultilevel"/>
    <w:lvl w:ilvl="0" w:tplc="99020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034999">
    <w:abstractNumId w:val="320349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2527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