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SZÁSZFALVI</w:t>
            </w:r>
          </w:p>
          <w:p w:rsidR="00C275A3" w:rsidRDefault="00A96AEC" w:rsidP="00C275A3">
            <w:pPr>
              <w:pStyle w:val="Hallgatokepzes"/>
            </w:pPr>
            <w:r>
              <w:t>Andragogy</w:t>
            </w:r>
            <w:r>
              <w:br/>
            </w:r>
            <w:r w:rsidR="00E77B23">
              <w:t>MA, 1.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Engler dr.</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Reformed Church in the relaunched folk high school movement. The national folk high school movement with protestant side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changing global paradigms of the 21st century, and the subsequent changes of local communities, have called upon the Reformed Church’s Folk high schools to adapt to such changes accordingly.</w:t>
      </w:r>
      <w:r>
        <w:rPr>
          <w:color w:val="000000"/>
          <w:sz w:val="24"/>
          <w:szCs w:val="24"/>
        </w:rPr>
        <w:br/>
        <w:t xml:space="preserve">The purpose of the Folk School concept is to lay the foundations of, and continually shape, local communities and identities. Individuals identify themselves by their local surroundings, acting as a unit in a functioning community. They can therefore directly observe their ability to influence various elements of public life, including economic and cultural dynamics, as well as social relationships and contributions in practical work.</w:t>
      </w:r>
      <w:r>
        <w:rPr>
          <w:color w:val="000000"/>
          <w:sz w:val="24"/>
          <w:szCs w:val="24"/>
        </w:rPr>
        <w:br/>
        <w:t xml:space="preserve">In this paper, I will demonstrate how the moral ideals and educational principles of Folk high schools still prove effective after 170 years, by referencing the original „folkehøjskole” model and Hungarian historical background. The success of such institutions is even visible by the naming of the European Union’s adult education program after Grundtvig, the “father” of the concept of Folk high schools.</w:t>
      </w:r>
      <w:r>
        <w:rPr>
          <w:color w:val="000000"/>
          <w:sz w:val="24"/>
          <w:szCs w:val="24"/>
        </w:rPr>
        <w:br/>
        <w:t xml:space="preserve">I will address the following questions in this paper: What are the functions of reformed Folk high schools? What are the aims of Folk high schools and have these goals changed with the new generations, with the paradigm shifts of modern society? Who are the target groups and whom are Folk high schools trying to reach? What can the common goals of a reformed movement potentially achieve?</w:t>
      </w:r>
      <w:r>
        <w:rPr>
          <w:color w:val="000000"/>
          <w:sz w:val="24"/>
          <w:szCs w:val="24"/>
        </w:rPr>
        <w:br/>
        <w:t xml:space="preserve">During the course of research beside the revising the relevant literature, visiting, mapping, and examining on site the work of the “Reformed section” of Sárospatak, the Reformed Folk High School of Vác I have also interviewed the leadership of two reformed folk high schools.</w:t>
      </w:r>
      <w:r>
        <w:rPr>
          <w:color w:val="000000"/>
          <w:sz w:val="24"/>
          <w:szCs w:val="24"/>
        </w:rPr>
        <w:br/>
        <w:t xml:space="preserve">Based on the above we can determine that the role of the Church in this work does not only have a past, but also legitimacy and a present, and its future activity is assisted and established by the fact that as a consequence of its situation the Church follows the needs of the community, knows the local population, its capabilities and necessitiess,and is therefore capable of organizing the community, strengthening and mobilizing human relationships with its organizing power, and with its activity it is capable of finding solutions to real personal needs.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96089">
    <w:multiLevelType w:val="hybridMultilevel"/>
    <w:lvl w:ilvl="0" w:tplc="64366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96089">
    <w:abstractNumId w:val="51096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0856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