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GYURKOVICS</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Rozsa Katonai Eniko</w:t>
            </w:r>
          </w:p>
          <w:p w:rsidR="00DB4822" w:rsidRDefault="00DB4822" w:rsidP="00E11062">
            <w:pPr>
              <w:pStyle w:val="Konzulensek"/>
            </w:pPr>
            <w:r w:rsidRPr="00DB4822">
              <w:t>PhD Student,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dopamine receptor genes on flow proneness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Flow is a special mental state experienced while handling challenges that meet our skills, and is characterized by effortless attention, high control and low self-awareness. A recent twin study (Mosing et al., 2012) using the Swedish Flow Proneness Questionnaire (FPQ; Ullén et al., 2012) demonstrated moderate heritability in proneness to experience flow. FPQ assesses frequency of flow in three major domains of life (Work, Maintenance, Leisure). The present study investigates the genetic background of flow proneness using the Hungarian translation of the questionnaire. As the temperament dimension of novelty seeking has been linked to both higher frequency of flow experiences (Teng, 2011) and the 7-repeat allele of the DRD4 gene coding the D4 dopamine receptor, we hypothesized a positive relationship between this long variant of the DRD4 polymorphism and flow proneness. De Manzano and colleagues (2012) found a relationship between flow proneness and the striatal availability of D2 dopamine receptors, thus we examined the effect of the C957T SNP in the DRD2 gene, known to affect striatal D2 receptor availability (Hirvonen et al., 2009).</w:t>
      </w:r>
    </w:p>
    <w:p>
      <w:pPr>
        <w:pBdr/>
        <w:spacing w:before="240" w:after="240" w:line="240" w:lineRule="auto"/>
        <w:ind w:left="0" w:right="0"/>
        <w:jc w:val="left"/>
      </w:pPr>
      <w:r>
        <w:rPr>
          <w:color w:val="000000"/>
          <w:sz w:val="24"/>
          <w:szCs w:val="24"/>
        </w:rPr>
        <w:t xml:space="preserve">Sample: 163 subjects (22% male), mean age: 24,43 (±6,84) years. Materials: the Hungarian translation of the Flow Proneness Questionnaire (Ullén et al., 2012), 7 items per domain. Procedure: non-invasive DNA sampling and genotyping; online questionnaire.</w:t>
      </w:r>
    </w:p>
    <w:p>
      <w:pPr>
        <w:pBdr/>
        <w:spacing w:before="240" w:after="240" w:line="240" w:lineRule="auto"/>
        <w:ind w:left="0" w:right="0"/>
        <w:jc w:val="left"/>
      </w:pPr>
      <w:r>
        <w:rPr>
          <w:color w:val="000000"/>
          <w:sz w:val="24"/>
          <w:szCs w:val="24"/>
        </w:rPr>
        <w:t xml:space="preserve">The mean FPQ score of carriers of the long allele of DRD4 was significantly higher than of non-carriers. Analyzed by domains, only the difference in FP-Leisure was significant between the two groups (p&lt;0,001). Difference in mean FP-Leisure was also significant between carriers of different variants of the DRD2 C957T SNP (p&lt;0,04): we demonstrated the additive effect of the T-allele. The allele is responsible for 9% of the variance in the scores. Observed statistical power was adqeuate; no gene-gene interaction was found.</w:t>
      </w:r>
    </w:p>
    <w:p>
      <w:pPr>
        <w:pBdr/>
        <w:spacing w:before="240" w:after="240" w:line="240" w:lineRule="auto"/>
        <w:ind w:left="0" w:right="0"/>
        <w:jc w:val="left"/>
      </w:pPr>
      <w:r>
        <w:rPr>
          <w:color w:val="000000"/>
          <w:sz w:val="24"/>
          <w:szCs w:val="24"/>
        </w:rPr>
        <w:t xml:space="preserve">Our results were consistent with the literature on both the DRD4 VNTR and DRD2 C957T SNP. The 7-repeat allele of DRD4 is most likely linked to flow proneness via novelty-seeking that emerges to compensate for the reduced efficiency in dopamine binding. The presence of the DRD2 957 T-allele has been linked to higher striatal DRD2 availability which is an important physiological correlate of flow proneness. In conclusion, it appears that flow proneness is an endophenotype formed by dopamine genes. Our aim is to increase sample size to support the findings.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28640">
    <w:multiLevelType w:val="hybridMultilevel"/>
    <w:lvl w:ilvl="0" w:tplc="57513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28640">
    <w:abstractNumId w:val="68128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540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