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KLARA SOMOGYI</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Education and Psychology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Martos</w:t>
            </w:r>
          </w:p>
          <w:p w:rsidR="00DB4822" w:rsidRDefault="00DB4822" w:rsidP="00E11062">
            <w:pPr>
              <w:pStyle w:val="Konzulensek"/>
            </w:pPr>
            <w:r w:rsidRPr="00DB4822">
              <w:t>associate professor, SE EKK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Longitudinal relationships between motivational and emotional patterns of personal goals and psychological well-being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the study was to combine current issues from motivational and positive psychology, and psychology of religion. The study was based on the theoretical ground of Ryan and Deci’s Self-Determination Theory and Sheldon and Kasser’s Self-Concordance Model. We examined how external-controlled and internal-autonomous regulation of the goals determine the following variables: commitment and achievement of the goals, emotions related to these goals, and general psychological well-being. Two religious motivations (normative and transcendent), which showed correlation with controlled and autonomous motivations in a previous study, were also included as explanatory variables. The psychological well-being was assessed by the prevalence of positive and negative emotions, and the Satisfaction With Life, Purpose In Life, and Self-Actualization Scales.</w:t>
      </w:r>
    </w:p>
    <w:p>
      <w:pPr>
        <w:pBdr/>
        <w:spacing w:before="240" w:after="240" w:line="240" w:lineRule="auto"/>
        <w:ind w:left="0" w:right="0"/>
        <w:jc w:val="left"/>
      </w:pPr>
      <w:r>
        <w:rPr>
          <w:color w:val="000000"/>
          <w:sz w:val="24"/>
          <w:szCs w:val="24"/>
        </w:rPr>
        <w:t xml:space="preserve">The design of the research was longitudinal, data were collected two times. The surveys contained a questionnaire of personal goals, their motivational and emotional attributes, and the above mentioned scales of psychological well-being.</w:t>
      </w:r>
    </w:p>
    <w:p>
      <w:pPr>
        <w:pBdr/>
        <w:spacing w:before="240" w:after="240" w:line="240" w:lineRule="auto"/>
        <w:ind w:left="0" w:right="0"/>
        <w:jc w:val="left"/>
      </w:pPr>
      <w:r>
        <w:rPr>
          <w:color w:val="000000"/>
          <w:sz w:val="24"/>
          <w:szCs w:val="24"/>
        </w:rPr>
        <w:t xml:space="preserve">The results of the study were in accordance with the Self-Concordance Model and confirmed our hypothesis that religious motivations also significantly affect emotional status and well-being. The emotional states related to the goals were also reflected in the extent of the achievement and the level of well-being.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158435">
    <w:multiLevelType w:val="hybridMultilevel"/>
    <w:lvl w:ilvl="0" w:tplc="462446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158435">
    <w:abstractNumId w:val="83158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4871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