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GÁBOR LENGYEL</w:t>
            </w:r>
          </w:p>
          <w:p w:rsidR="00C275A3" w:rsidRDefault="00A96AEC" w:rsidP="00C275A3">
            <w:pPr>
              <w:pStyle w:val="Hallgatokepzes"/>
            </w:pPr>
            <w:r>
              <w:t>Cognitive psychology</w:t>
            </w:r>
            <w:r>
              <w:br/>
            </w:r>
            <w:r w:rsidR="00E77B23">
              <w:t>MA, 1. semester</w:t>
            </w:r>
          </w:p>
          <w:p w:rsidR="00C265CE" w:rsidRPr="009E5FF1" w:rsidRDefault="00E77B23" w:rsidP="00C275A3">
            <w:pPr>
              <w:pStyle w:val="Hallgatokepzes"/>
              <w:rPr>
                <w:b/>
                <w:caps/>
              </w:rPr>
            </w:pPr>
            <w:r>
              <w:t>Eötvös Loránd University</w:t>
            </w:r>
            <w:r w:rsidR="00C275A3">
              <w:br/>
            </w:r>
            <w:r w:rsidR="00DB4822">
              <w:t>Faculty of Education and Psychology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Attila Krajcsi</w:t>
            </w:r>
          </w:p>
          <w:p w:rsidR="00DB4822" w:rsidRDefault="00DB4822" w:rsidP="00E11062">
            <w:pPr>
              <w:pStyle w:val="Konzulensek"/>
            </w:pPr>
            <w:r w:rsidRPr="00DB4822">
              <w:t> associate professor, ELTE PPK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representation of recently learnt number symbols: How fast do the new labels build in the semantic network?</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Priming has often been studied with Arabic numbers in the field of numerical cognition. Priming can be defined as the facilitative effect of a previously presented stimulus on the latency and the accuracy of the processing (of a latter stimulus. In numerical studies priming can be observed in two forms: (i) congruency-priming effect and (ii) priming distance effect (PDE). Congruency-priming effect is when the responses in a task are faster and more accurate if the prime and the target stimuli yield the same answer, than if they do not. PDE means that when the prime and target stimuli are numerically close (e.g. 1-2) the responses to the target stimulus are faster and more accurate, than when they are numerically more distant (e.g. 1-4).</w:t>
      </w:r>
    </w:p>
    <w:p>
      <w:pPr>
        <w:pBdr/>
        <w:spacing w:before="240" w:after="240" w:line="240" w:lineRule="auto"/>
        <w:ind w:left="0" w:right="0"/>
        <w:jc w:val="left"/>
      </w:pPr>
      <w:r>
        <w:rPr>
          <w:color w:val="000000"/>
          <w:sz w:val="24"/>
          <w:szCs w:val="24"/>
        </w:rPr>
        <w:t xml:space="preserve">In our experiment we investigated the PDE in order to find out whether the recently learnt number symbols would activate the numeric value that they represent. Thus it can be revealed that those new symbols are just a sequence of meaningless labels or they actually act like real representations of the numbers in the participants’ mind. Furthermore if we consider the paradigm more generally, we can discover how the new label fits in the semantic network system. Consequently if we put a new label on a certain concept, then how rapidly and firmly will this label activate the original notion?</w:t>
      </w:r>
    </w:p>
    <w:p>
      <w:pPr>
        <w:pBdr/>
        <w:spacing w:before="240" w:after="240" w:line="240" w:lineRule="auto"/>
        <w:ind w:left="0" w:right="0"/>
        <w:jc w:val="left"/>
      </w:pPr>
      <w:r>
        <w:rPr>
          <w:color w:val="000000"/>
          <w:sz w:val="24"/>
          <w:szCs w:val="24"/>
        </w:rPr>
        <w:t xml:space="preserve">In the experiment the participants had to learn new symbols for the numbers from 1 to 9. Then in a priming task those new symbols (as primes) and Arabic numbers (as targets) appeared in turns on the display. The task was to decide whether the number/symbol was larger than five or not. The participants had to response to both the prime and the target stimuli.</w:t>
      </w:r>
    </w:p>
    <w:p>
      <w:pPr>
        <w:pBdr/>
        <w:spacing w:before="240" w:after="240" w:line="240" w:lineRule="auto"/>
        <w:ind w:left="0" w:right="0"/>
        <w:jc w:val="left"/>
      </w:pPr>
      <w:r>
        <w:rPr>
          <w:color w:val="000000"/>
          <w:sz w:val="24"/>
          <w:szCs w:val="24"/>
        </w:rPr>
        <w:t xml:space="preserve">If the new symbols do activate automatically the Arabic numbers, then the PDE must be present between the two notations (new symbols and Arabic numbers). The experiment was conducted five times over five days in order to investigate the change in the PDE (due to learning), thus we can follow the infiltration of the new labels in the semantic network.</w:t>
      </w:r>
    </w:p>
    <w:p>
      <w:pPr>
        <w:pBdr/>
        <w:spacing w:before="240" w:after="240" w:line="240" w:lineRule="auto"/>
        <w:ind w:left="0" w:right="0"/>
        <w:jc w:val="left"/>
      </w:pPr>
      <w:r>
        <w:rPr>
          <w:color w:val="000000"/>
          <w:sz w:val="24"/>
          <w:szCs w:val="24"/>
        </w:rPr>
        <w:t xml:space="preserve">According to the results PDE was observed already in the first occasion, and the effect was also present during the other days of learning. Therefore there is no need for other occasions, the new number symbols act immediately like other representations of the numbers in the participants’ mind.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335731">
    <w:multiLevelType w:val="hybridMultilevel"/>
    <w:lvl w:ilvl="0" w:tplc="805587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335731">
    <w:abstractNumId w:val="3333573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8294285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