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TISZA KÁLMÁN</w:t>
            </w:r>
          </w:p>
          <w:p w:rsidR="00C275A3" w:rsidRDefault="00A96AEC" w:rsidP="00C275A3">
            <w:pPr>
              <w:pStyle w:val="Hallgatokepzes"/>
            </w:pPr>
            <w:r>
              <w:t>pszichológia</w:t>
            </w:r>
            <w:r>
              <w:br/>
            </w:r>
            <w:r w:rsidR="00E77B23">
              <w:t>MA, 1. félév</w:t>
            </w:r>
          </w:p>
          <w:p w:rsidR="00C265CE" w:rsidRPr="009E5FF1" w:rsidRDefault="00E77B23" w:rsidP="00C275A3">
            <w:pPr>
              <w:pStyle w:val="Hallgatokepzes"/>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Bányai Éva</w:t>
            </w:r>
          </w:p>
          <w:p w:rsidR="00DB4822" w:rsidRDefault="00DB4822" w:rsidP="00E11062">
            <w:pPr>
              <w:pStyle w:val="Konzulensek"/>
            </w:pPr>
            <w:r w:rsidRPr="00DB4822">
              <w:t>Professor Emeritus,  Affektív Pszichológia Tanszék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Testi-lelki immunitás, életminőség és hipnábilitás: előzetes eredmények egy pszichoonkológiai kutatásból.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Országos Onkológiai Intézetben (OOI) és a szombathelyi Markusovszky Lajos Kórházban 2011. októberétől Bányai Éva vezetésével prospektív klinikai vizsgálat folyik, amelyben kemoterápiához társított hipnoterápia, ill. zenei összeállítás hatásait vetjük össze a hasonló támogatásban nem részesülő kontroll csoportok adataival közepes-magas kockázatú emlődaganatos betegeknél. A betegekkel való első találkozáskor mérjük a pszichológiai immunkompetenciát (PIK kérdőívvel), az életminőséget (WHOQOL-100 kérdőívvel) valamint a hipnózis(H) és zenei(Z) támogatásra jelentkező v.sz.-eknél a hipnábilitást (Stanford Klinikai Hipnózis Skálával). A betegek ezután egységes protokoll szerint (4 ciklus AC, 12 ciklus heti Paclitaxel) 25 hetes kemoterápiás kezelésben részesülnek, ami alatt háromszor (1. AC, 1. PAC, utolsó vérképkontroll) az NK sejtek aktivitását mérjük. Az első PAC és utolsó vérképkontrollkor megismételjük a PIK és QOL mérést is. A kemoterápia alatt a kezelések és a vérképkontroll vizsgálatok alkalmával az OOI-ben random besorolás alapján kialakított két csoport v.sz.-ei fejhallgatón keresztül vagy standard hipnotikus szuggesztiósort, vagy zenei összeállítást hallgatnak.</w:t>
      </w:r>
      <w:r>
        <w:rPr>
          <w:color w:val="000000"/>
          <w:sz w:val="24"/>
          <w:szCs w:val="24"/>
        </w:rPr>
        <w:br/>
        <w:t xml:space="preserve">Ebben a komplex kutatásban a hipnotikus fogékonyság, az immunfunkciók és a lelki változók (pszichológiai immunrendszer, életminőség) közötti összefüggéseket vizsgálom. A jelen előzetes eredmények 40 beteg (18 H, 14 Z, 8 kontroll) adatainak összegzésén alapulnak.</w:t>
      </w:r>
      <w:r>
        <w:rPr>
          <w:color w:val="000000"/>
          <w:sz w:val="24"/>
          <w:szCs w:val="24"/>
        </w:rPr>
        <w:br/>
        <w:t xml:space="preserve">Az NK aktivitás esetében nem található szignifikáns eltérés. A lelki immunfunkciók esetében viszont a 2. PIK kitartás skálája mutat szignifikáns különbséget: az Erősen hipnábilisok (E) kevésbé kitartóak, mint a gyengék (GY). Az életminőség AC kezelés végére bekövetkező változásában a legjelentősebb különbség, hogy míg az E v.sz.-ek gyógyszerfüggősége az 1. QOL méréshez képest csökken, addig a GY v.sz.-eké nő, de csak a hipnózis csoportban. A PAC kezelés hatására a 3. QOL mérésnél az E v.sz.-ek szignifikánsan magasabb fájdalom és negatív érzelem értékeket adnak; míg a testkép, a biztonság, az anyagiakkal való elégedettség, a fizikai domain és a szociális domain értékei szignifikánsan alacsonyabbak náluk, mint a GY csoportban.</w:t>
      </w:r>
      <w:r>
        <w:rPr>
          <w:color w:val="000000"/>
          <w:sz w:val="24"/>
          <w:szCs w:val="24"/>
        </w:rPr>
        <w:br/>
        <w:t xml:space="preserve">Az eredmények diszkussziójában kitérek arra, hogy a kezelések előrehaladtával az erősen hipnábilisok rugalmasabbá válnak és ez együtt jár azzal, hogy negatív érzelmeiket jobban kifejezik. Mindez hoszútávon elősegítheti a poszttraumás növekedést.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53723">
    <w:multiLevelType w:val="hybridMultilevel"/>
    <w:lvl w:ilvl="0" w:tplc="98660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53723">
    <w:abstractNumId w:val="635537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2251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