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KÁLMÁN TISZA</w:t>
            </w:r>
          </w:p>
          <w:p w:rsidR="00C275A3" w:rsidRDefault="00A96AEC" w:rsidP="00C275A3">
            <w:pPr>
              <w:pStyle w:val="Hallgatokepzes"/>
            </w:pPr>
            <w:r>
              <w:t>psychology</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Bányai</w:t>
            </w:r>
          </w:p>
          <w:p w:rsidR="00DB4822" w:rsidRDefault="00DB4822" w:rsidP="00E11062">
            <w:pPr>
              <w:pStyle w:val="Konzulensek"/>
            </w:pPr>
            <w:r w:rsidRPr="00DB4822">
              <w:t>Professor Emeritus,  Department of Affective Psychology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Physical and psychological immunity, quality of life and hypnotic susceptibility: Preliminary results of a psychooncological research.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From October 2011 a prospective clinical study has been conducted in the National Institute of Oncology (NIO) and in the Markusovszky Hospital (principal investigator: Éva Bányai). The effects of hypnotherapy (Group H) or music (Group M) as adjunctive therapies are compared with unassisted control groups of medium-high risk breast cancer patients.</w:t>
      </w:r>
      <w:r>
        <w:rPr>
          <w:color w:val="000000"/>
          <w:sz w:val="24"/>
          <w:szCs w:val="24"/>
        </w:rPr>
        <w:br/>
        <w:t xml:space="preserve">Before chemotherapy treatment, psychological immune competence, quality of life, and in groups H and M hypnotic susceptibility of the patients are measured (with PICI, WHOQOL-100 and SCHS). NK-cell activity is measured three times during the standard chemotherapy protocol (before the 1st AC and 1st PAC treatment, and when the last blood-count control is conducted, after 25 weeks). Before the first PAC-treatment and after the last blood-count control, PICI and QOL questionnaires are administered again. During chemotherapy treatments and blood-count controls, the members of Groups H and M at NIO are listening standard hypnotic suggestions or musical assemblies, respectively.</w:t>
      </w:r>
      <w:r>
        <w:rPr>
          <w:color w:val="000000"/>
          <w:sz w:val="24"/>
          <w:szCs w:val="24"/>
        </w:rPr>
        <w:br/>
        <w:t xml:space="preserve">In this complex study I examine the relationships between hypnotizability, immune functions, psychological immune system and quality of life. The present preliminary results are based on the data-analysis of 40 patients (18 Ss in Group H, 14 Ss in Group M and 8 controls).</w:t>
      </w:r>
      <w:r>
        <w:rPr>
          <w:color w:val="000000"/>
          <w:sz w:val="24"/>
          <w:szCs w:val="24"/>
        </w:rPr>
        <w:br/>
        <w:t xml:space="preserve">The measurements of the immune functions (NK activity), don't show a correlation with hypnotizability. The psychological immune functions at the second measurement, demonstrate a significant difference in persistency: the highly hypnotizables being less persistent than the lows. The change of the quality of life by the end of the AC treatment also shows a significant difference: while the drug dependence increased in the lows, it decreased in the highs as compared with the measures before the treatment. As a result of PAC treatment, in the 3rd measurement of QOL, highs show significantly higher values for pain and negative emotions; while their scores on body image, security, satisfaction with finances, the physical and social domain are significantly lower than those of the lows.</w:t>
      </w:r>
      <w:r>
        <w:rPr>
          <w:color w:val="000000"/>
          <w:sz w:val="24"/>
          <w:szCs w:val="24"/>
        </w:rPr>
        <w:br/>
        <w:t xml:space="preserve">The results are discussed in terms of a possible relationship between higher flexibility and the better expression of negative feelings in highly hypnotizables after receiving psychological help (hypnotherapy or music) in the course of chemotherapy treatment. These effects may facilitate a long-term posttraumatic growth of the highly susceptible patients.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61632">
    <w:multiLevelType w:val="hybridMultilevel"/>
    <w:lvl w:ilvl="0" w:tplc="839898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61632">
    <w:abstractNumId w:val="722616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77382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