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DORINA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MAJOR GRÉTA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Rózsa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Rózsa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spiritualitás és jól-lét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Gyermekkori spiritualitás és jól-lét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lelki világának feltárása több neves kutatót is inspirált, ennek ellenére a gyermekkori spiritualitás és jól-lét kapcsolatának vizsgálatára viszonylag kevés kutatás irányul. Kutatásunk fő célkitűzése a gyermekkori spiritualitás (személyiségvonás, érték, vallásossággal való kapcsolat) átfogó elemzése, az általános jól-létre gyakorolt hatásának vizsgálata, valamint a meglévő „felnőtt” kérdőívek gyermekekre adaptálása, illetve magyarra fordítása.</w:t>
      </w:r>
      <w:r>
        <w:rPr>
          <w:color w:val="000000"/>
          <w:sz w:val="24"/>
          <w:szCs w:val="24"/>
        </w:rPr>
        <w:br/>
        <w:t xml:space="preserve">A kutatásban két vidéki általános iskola 3-6. osztályos tanulói vettek részt. A vizsgálatok során mind kvalitatív, mind kvantitatív módszereket egyaránt alkalmaztunk. Kutatási tesztbattériánkat az elővizsgálatként alkalmazott félig-strukturált interjúk eredményei alapján állítottuk össze. A tesztbattériánkban több olyan módszert is alkalmaztunk, amelyek elsőként kerültek hazai felhasználásra: pl. Fisher-féle Spirituális Jól-lét Kérdőív, az Élettel Való Elégedettség Skála, Pozitív és Negatív Affektivitás Skála gyerek változata.</w:t>
      </w:r>
      <w:r>
        <w:rPr>
          <w:color w:val="000000"/>
          <w:sz w:val="24"/>
          <w:szCs w:val="24"/>
        </w:rPr>
        <w:br/>
        <w:t xml:space="preserve">Kutatási eredményeink alapján sikerült megerősítenünk, hogy a spiritualitás egy gyermekkorban is mérhető stabil és fontos személyiségvonás, aminek a mérésére egy megbízható mérőeszközt is összeállítottunk és kipróbáltunk. A spiritualitás és a jól-lét között nem sikerült egyértelmű pozitív kapcsolatot kimutatnunk, melynek elsődleges oka, hogy a vonásjellegű spiritualitás a jól-létet több módon is képes befolyásolni. Ennek igazolására megalkottunk egy átfogó oksági modellt, ami a gyermekkori spiritualitás és jól-lét összefüggéseit más közvetítő tényezők (pl. negatív affektivitás) bevonásán keresztül értelmezi. A kapott eredményeink rendkívül hasznos és újszerű megállapítások levonását teszik lehetővé. Az elvárásainknak és nemzetközi szakirodalmi eredményeknek megfelelően az oksági modellünkben megfigyelhettük azt a pozitív hatást, amelyet a vonásjellegű spiritualitás a spirituális jól-léten keresztül fejt ki az általános jól-létre. Másrészt azonban érvényesült egy ellentétes hatásmechanizmus is, mivel a vonásjellegű spiritualitás közvetlenül növelheti a negatív affektivitást is, ennek megfelelően pedig a negatív érzelmi állapotok csökkentik a gyermek szubjektív jól-létét.</w:t>
      </w:r>
      <w:r>
        <w:rPr>
          <w:color w:val="000000"/>
          <w:sz w:val="24"/>
          <w:szCs w:val="24"/>
        </w:rPr>
        <w:br/>
        <w:t xml:space="preserve">Kutatásunk eredményei, illetve a hazai környezetre adaptált módszerek további kutatásokat inspirálhatnak, melyek által a gyermekkori spiritualitásról és jól-létről, valamint ezek fejlődési aspektusairól még pontosabb eredményekre derülhet fény.</w:t>
      </w:r>
      <w:r>
        <w:rPr>
          <w:color w:val="000000"/>
          <w:sz w:val="24"/>
          <w:szCs w:val="24"/>
        </w:rPr>
        <w:t xml:space="preserve">``</w:t>
      </w: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80854">
    <w:multiLevelType w:val="hybridMultilevel"/>
    <w:lvl w:ilvl="0" w:tplc="4385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80854">
    <w:abstractNumId w:val="74280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662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