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DORINA BELLA</w:t>
            </w:r>
          </w:p>
          <w:p w:rsidR="00C275A3" w:rsidRDefault="00A96AEC" w:rsidP="00C275A3">
            <w:pPr>
              <w:pStyle w:val="Hallgatokepzes"/>
            </w:pPr>
            <w:r>
              <w:t>psychology</w:t>
            </w:r>
            <w:r>
              <w:br/>
            </w:r>
            <w:r w:rsidR="00E77B23">
              <w:t>BA, 3.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GRÉTA MAJOR</w:t>
            </w:r>
          </w:p>
          <w:p w:rsidR="00DB4822" w:rsidRDefault="00C275A3" w:rsidP="004D7940">
            <w:pPr>
              <w:pStyle w:val="Hallgatokepzes"/>
            </w:pPr>
            <w:r>
              <w:t>psychology</w:t>
            </w:r>
            <w:r w:rsidR="00A96AEC">
              <w:br/>
              <w:t>BA, 3.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Education and Psychology</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Rózsa</w:t>
            </w:r>
          </w:p>
          <w:p w:rsidR="00DB4822" w:rsidRDefault="00DB4822" w:rsidP="00E11062">
            <w:pPr>
              <w:pStyle w:val="Konzulensek"/>
            </w:pPr>
            <w:r w:rsidRPr="00DB4822">
              <w:t> assistant professor , ELTE PPK</w:t>
            </w:r>
          </w:p>
        </w:tc>
      </w:tr>
      <w:tr w:rsidR="00DB4822" w:rsidTr="00DB4822">
        <w:tc>
          <w:tcPr>
            <w:tcW w:w="9854" w:type="dxa"/>
          </w:tcPr>
          <w:p w:rsidR="00DB4822" w:rsidRPr="00DB4822" w:rsidRDefault="00DB4822" w:rsidP="004D7940">
            <w:pPr>
              <w:pStyle w:val="Konzulensek"/>
            </w:pPr>
            <w:r w:rsidRPr="00DB4822">
              <w:t>Sándor Rózsa</w:t>
            </w:r>
          </w:p>
          <w:p w:rsidR="00DB4822" w:rsidRDefault="00DB4822" w:rsidP="00E11062">
            <w:pPr>
              <w:pStyle w:val="Konzulensek"/>
            </w:pPr>
            <w:r w:rsidRPr="00DB4822">
              <w:t> assistant professor ,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Spirituality and well-being in children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Spirituality and well-being in children</w:t>
      </w:r>
    </w:p>
    <w:p>
      <w:pPr>
        <w:pBdr/>
        <w:spacing w:before="240" w:after="240" w:line="240" w:lineRule="auto"/>
        <w:ind w:left="0" w:right="0"/>
        <w:jc w:val="left"/>
      </w:pPr>
      <w:r>
        <w:rPr>
          <w:color w:val="000000"/>
          <w:sz w:val="24"/>
          <w:szCs w:val="24"/>
        </w:rPr>
        <w:t xml:space="preserve">Exploring the soul of the child inspired several well-known researchers, still there are relatively few studies about spirituality and well-being of children. Our main aims are to analyze the different aspects of spirituality (personality trait, value, relationship between spirituality and religion),to examine its effect on general well-being, to adapt existing „adult” questionnaires to children and to translate these to Hungarian.</w:t>
      </w:r>
      <w:r>
        <w:rPr>
          <w:color w:val="000000"/>
          <w:sz w:val="24"/>
          <w:szCs w:val="24"/>
        </w:rPr>
        <w:br/>
        <w:t xml:space="preserve">Third to sixth graders of two rural elementary school took part in the survey. Qualitative and quantitative methods were used together in our research. We composed a comprehensive test battery based on the results of the semi-structured interviews in the pre-test. In our test battery, we used several methods that was used first in Hungary, for example Fisher’s Feeling Good, Living Life Questionnaire, Students Life Satisfaction Scale and Children version of Positive and Negative Affect Scales.</w:t>
      </w:r>
      <w:r>
        <w:rPr>
          <w:color w:val="000000"/>
          <w:sz w:val="24"/>
          <w:szCs w:val="24"/>
        </w:rPr>
        <w:br/>
        <w:t xml:space="preserve">Based on the results of the survey we could prove that spirituality is a measurable, stable and significant personality trait in early life, and we composed a reliable instrument to measure it.</w:t>
      </w:r>
      <w:r>
        <w:rPr>
          <w:color w:val="000000"/>
          <w:sz w:val="24"/>
          <w:szCs w:val="24"/>
        </w:rPr>
        <w:br/>
        <w:t xml:space="preserve">We couldn’t prove univoque positive connection between spirituality and well-being, mainly because character trait spirituality can influence well-being on multiple ways.To verify this, we made a comprehensive causal model, which interprets the connections between spirituality and well-being of children, and other mediating factors (for example negative affect). Our results allow remarkably useful and original conclusions. Met the expectations and the results of the international scientific literature, in our causal model we could observe the positive impact made by the character trait spirituality on the general well-being via spirituality well-being. On the other hand, an opposite mechanism of action prevailed on this, because character trait spirituality can raise negative affect directly too, so negative states of emotion decrease the subjective well-being of the child.</w:t>
      </w:r>
      <w:r>
        <w:rPr>
          <w:color w:val="000000"/>
          <w:sz w:val="24"/>
          <w:szCs w:val="24"/>
        </w:rPr>
        <w:br/>
        <w:t xml:space="preserve">The results of our survey, and the methods adapted to the domestic environment can inspire additional researches, which can lead us to more precise results in the field of spirituality and well-being of children, and the development aspects of these.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852814">
    <w:multiLevelType w:val="hybridMultilevel"/>
    <w:lvl w:ilvl="0" w:tplc="893621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852814">
    <w:abstractNumId w:val="408528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57203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