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RUSVAI</w:t>
            </w:r>
          </w:p>
          <w:p w:rsidR="00C275A3" w:rsidRDefault="00A96AEC" w:rsidP="00C275A3">
            <w:pPr>
              <w:pStyle w:val="Hallgatokepzes"/>
            </w:pPr>
            <w:r>
              <w:t>English Studies MA</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Limpár</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Guardians of Treasure Immeasurable: Dragons in "Fehérlófia" and Beowulf</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prelogical thinking, the dragon was supposed to account for various natural phenomena: in some traditions it was frequently associated with storm and hail, whereas other communities imagined it as the serpent-like guardian of the world’s end. However, the dragon’s cultural role goes far beyond this explanatory function. The dragon is a potent cultural signifier: on the one hand, it may reveal specific data about the cultural milieu in which it was created; on the other hand, it may link seemingly distant cultures through the deeper layers of its meaning. The present paper attempts to cast light on this two-fold role of dragons as cultural signifiers through the comparison of two culturally and historically distinct texts: Beowulf and “Fehérlófia”.</w:t>
      </w:r>
      <w:r>
        <w:rPr>
          <w:color w:val="000000"/>
          <w:sz w:val="24"/>
          <w:szCs w:val="24"/>
        </w:rPr>
        <w:br/>
        <w:t xml:space="preserve">Firstly, the paper observes the possibilities of reading the dragon as palimpsest. It seems that the dragon can never be the signifier of a single community, but it belongs to a wider cultural context, in which the different traditions easily overwrite each other. Similarly, the way in which these texts are rewritten for a Christian audience resembles a palimpsest: under the veil of the new religion some pagan elements still remained perceptible. In the following, the analysis deals with the dragon’s body and claims that in both texts the dragon is constructed from anthropomorphic and bestial elements, and that the basic difference between the two representations is due to the proportion of these. Nevertheless, the dragon remains physically ambiguous, neither a proper human, nor an ordinary animal.</w:t>
      </w:r>
      <w:r>
        <w:rPr>
          <w:color w:val="000000"/>
          <w:sz w:val="24"/>
          <w:szCs w:val="24"/>
        </w:rPr>
        <w:br/>
        <w:t xml:space="preserve">All these observations seem to demonstrate that the only connection between the two dragon types is their resistance to categorisation. However, the paper discovers a further connection: even though the nature of their treasure is fairly different the dragons in “Fehérlófia” and Beowulf definitely share the role of guarding some humanly valuable item. It is through their precious possessions that they ever get into contact with the human sphere and this is how they may fulfil their main function as the proper combatant of the hero.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67883">
    <w:multiLevelType w:val="hybridMultilevel"/>
    <w:lvl w:ilvl="0" w:tplc="80925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67883">
    <w:abstractNumId w:val="89367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602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