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SZATMÁRI</w:t>
            </w:r>
          </w:p>
          <w:p w:rsidR="00C275A3" w:rsidRDefault="00A96AEC" w:rsidP="00C275A3">
            <w:pPr>
              <w:pStyle w:val="Hallgatokepzes"/>
            </w:pPr>
            <w:r>
              <w:t>Études françaises</w:t>
            </w:r>
            <w:r>
              <w:br/>
            </w:r>
            <w:r w:rsidR="00E77B23">
              <w:t>BA, 7. semester</w:t>
            </w:r>
          </w:p>
          <w:p w:rsidR="00C265CE" w:rsidRPr="009E5FF1" w:rsidRDefault="00E77B23" w:rsidP="00C275A3">
            <w:pPr>
              <w:pStyle w:val="Hallgatokepzes"/>
              <w:rPr>
                <w:b/>
                <w:caps/>
              </w:rPr>
            </w:pPr>
            <w:r>
              <w:t>Université Eötvös Lóránd</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Horváth</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Quand Beckett se traduit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L'auteur irlandais d'expression anglaise, Samuel Beckett, francophone excellent, écrit en ces deux langues. Après la composition d'une œuvre, il s'auto-traduit. Ce faisant, il réécrit souvent ses œuvres dont celle que nous examinerons . Oh les beaux jours, la pièce en question, n'est pas seulement la transposition lingusitique, mais plutôt une adaptation de la version anglaise, Happy Days, au contexte culturel français. Ce travail traite d'une part la problématique de l'auto-traduction beckettienne, et examine les différences liées au nouveau contexte et à l'intertextualité, de l'autre.</w:t>
      </w:r>
    </w:p>
    <w:p>
      <w:pPr>
        <w:widowControl w:val="on"/>
        <w:pBdr/>
        <w:spacing w:before="240" w:after="240" w:line="240" w:lineRule="auto"/>
        <w:ind w:left="0" w:right="0"/>
        <w:jc w:val="left"/>
      </w:pPr>
      <w:r>
        <w:rPr>
          <w:color w:val="000000"/>
          <w:sz w:val="24"/>
          <w:szCs w:val="24"/>
        </w:rPr>
        <w:t xml:space="preserve">Dans Oh les beaux jours, il s'agit d'un couple d'un certain âge : une femme à moitié enterrée dans un mamelon derrière lequel se trouve un homme. Leur immobilité cède la place à la parole. La femme, Winnie cause sans cesse. Elle « farfouille » dans son sac, et parallèlement se rappelle le passé, cite des poèmes liés à ce dont elle s'occupe. Elle s'adresse à son compagnon, Willie, très silencieux qui lui répond en général par des mots-phrases ou par des gestes. Elle est beaucoup attachée à lui, à la personne qui en tant qu'auditeur, consciemment ou inconsciemment, lui permet que finalement son monologue devienne dialogue. Dans ses propos apparemment naïfs, pieux, elle touche à plusieurs sujets : leur bonheur passé, l'oubli et la mémoire.</w:t>
      </w:r>
    </w:p>
    <w:p>
      <w:pPr>
        <w:widowControl w:val="on"/>
        <w:pBdr/>
        <w:spacing w:before="240" w:after="240" w:line="240" w:lineRule="auto"/>
        <w:ind w:left="0" w:right="0"/>
        <w:jc w:val="left"/>
      </w:pPr>
      <w:r>
        <w:rPr>
          <w:color w:val="000000"/>
          <w:sz w:val="24"/>
          <w:szCs w:val="24"/>
        </w:rPr>
        <w:t xml:space="preserve">Le flux de paroles de Winnie ressemble à une prière, émaillée d'intertextualité, et cela par ses citations et par ses allusions. Il résonne dans ce paysage abandonné comme un monologue intérieur, monologue plein de sentiments profonds. Sa solitude et sa volonté d'être heureuse se heurtent dans ce drame que dans la vie.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7630">
    <w:multiLevelType w:val="hybridMultilevel"/>
    <w:lvl w:ilvl="0" w:tplc="94235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7630">
    <w:abstractNumId w:val="40397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906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