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ARATÓ</w:t>
            </w:r>
          </w:p>
          <w:p w:rsidR="00C275A3" w:rsidRDefault="00A96AEC" w:rsidP="00C275A3">
            <w:pPr>
              <w:pStyle w:val="Hallgatokepzes"/>
            </w:pPr>
            <w:r>
              <w:t>traduction</w:t>
            </w:r>
            <w:r>
              <w:br/>
            </w:r>
            <w:r w:rsidR="00E77B23">
              <w:t>MA, 3. semester</w:t>
            </w:r>
          </w:p>
          <w:p w:rsidR="00C265CE" w:rsidRPr="009E5FF1" w:rsidRDefault="00E77B23" w:rsidP="00C275A3">
            <w:pPr>
              <w:pStyle w:val="Hallgatokepzes"/>
              <w:rPr>
                <w:b/>
                <w:caps/>
              </w:rPr>
            </w:pPr>
            <w:r>
              <w:t>Université Loránd Eötvös</w:t>
            </w:r>
            <w:r w:rsidR="00C275A3">
              <w:br/>
            </w:r>
            <w:r w:rsidR="00DB4822">
              <w:t>Faculté des Lettres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Kiss</w:t>
            </w:r>
          </w:p>
          <w:p w:rsidR="00DB4822" w:rsidRDefault="00DB4822" w:rsidP="00E11062">
            <w:pPr>
              <w:pStyle w:val="Konzulensek"/>
            </w:pPr>
            <w:r w:rsidRPr="00DB4822">
              <w:t>maître en conférence,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Le narrateur et ses fonctions dans La Manekine de Philippe de Rémi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L’analyse que nous nous proposons de faire porte sur un récit français médiéval qui, après sa publication à la fin du XIX</w:t>
      </w:r>
      <w:r>
        <w:rPr>
          <w:color w:val="000000"/>
          <w:position w:val="4"/>
          <w:sz w:val="21"/>
          <w:szCs w:val="21"/>
          <w:vertAlign w:val="superscript"/>
        </w:rPr>
        <w:t xml:space="preserve">e</w:t>
      </w:r>
      <w:r>
        <w:rPr>
          <w:color w:val="000000"/>
          <w:sz w:val="24"/>
          <w:szCs w:val="24"/>
        </w:rPr>
        <w:t xml:space="preserve"> siècle, n’a été replacé au cœur des réflexions que dans les années quatre-vingt. La Manekine, composée probablement dans la première moitié du XIII</w:t>
      </w:r>
      <w:r>
        <w:rPr>
          <w:color w:val="000000"/>
          <w:position w:val="4"/>
          <w:sz w:val="21"/>
          <w:szCs w:val="21"/>
          <w:vertAlign w:val="superscript"/>
        </w:rPr>
        <w:t xml:space="preserve">e</w:t>
      </w:r>
      <w:r>
        <w:rPr>
          <w:color w:val="000000"/>
          <w:sz w:val="24"/>
          <w:szCs w:val="24"/>
        </w:rPr>
        <w:t xml:space="preserve"> siècle, représente un roman d’inspiration folklorique dans lequel de nombreux motifs populaires se mêlent au message édifiant d’une histoire imprégnée de christianisme. Les séquences narratives qui donnent la charpente du récit se basent sur l’amalgame de deux types de contes populaires – celui de la fille injustement persécutée qui retrouve le bonheur après de nombreuses péripéties, et celui de l’héroïne subissant une mutilation.</w:t>
      </w:r>
    </w:p>
    <w:p>
      <w:pPr>
        <w:pBdr/>
        <w:spacing w:before="240" w:after="240" w:line="240" w:lineRule="auto"/>
        <w:ind w:left="0" w:right="0"/>
        <w:jc w:val="left"/>
      </w:pPr>
      <w:r>
        <w:rPr>
          <w:color w:val="000000"/>
          <w:sz w:val="24"/>
          <w:szCs w:val="24"/>
        </w:rPr>
        <w:t xml:space="preserve">Les études menées jusqu’ici sur le premier roman de Philippe de Rémi s’intéressaient principalement à ses aspects folkloriques et proposaient des analyses approfondies des motifs de l’histoire dans leurs divers aspects. Cependant, il n’existe guère d’études portant sur la structure de ce récit de point de vue narratif ; or, l’étude des rapports entre la linguistique et l’analyse du récit a pris un nouvel élan à partir des années soixante, et a entraîné la naissance d’un domaine particulier de la narratologie plus directement inspiré de la linguistique : celui de l’analyse structurale du récit, qui a été désormais appliquée à de nombreuses œuvres littéraires médiévales.</w:t>
      </w:r>
    </w:p>
    <w:p>
      <w:pPr>
        <w:pBdr/>
        <w:spacing w:before="240" w:after="240" w:line="240" w:lineRule="auto"/>
        <w:ind w:left="0" w:right="0"/>
        <w:jc w:val="left"/>
      </w:pPr>
      <w:r>
        <w:rPr>
          <w:color w:val="000000"/>
          <w:sz w:val="24"/>
          <w:szCs w:val="24"/>
        </w:rPr>
        <w:t xml:space="preserve">Nous nous proposons par la suite de procéder à une analyse narrative de La Manekine qui se veut, sur certains points, inévitablement interdisciplinaire : grâce aux moyens offerts par les approches littéraire et linguistique, elle vise à attirer l’attention sur une œuvre médiévale emblématique sous un nouvel aspect, et espère ouvrir de nouvelles pistes de recherche prometteuses.</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089227">
    <w:multiLevelType w:val="hybridMultilevel"/>
    <w:lvl w:ilvl="0" w:tplc="619593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089227">
    <w:abstractNumId w:val="620892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24379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