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CZÁR</w:t>
            </w:r>
          </w:p>
          <w:p w:rsidR="00C275A3" w:rsidRDefault="00A96AEC" w:rsidP="00C275A3">
            <w:pPr>
              <w:pStyle w:val="Hallgatokepzes"/>
            </w:pPr>
            <w:r>
              <w:t>Agricultural engineer</w:t>
            </w:r>
            <w:r>
              <w:br/>
            </w:r>
            <w:r w:rsidR="00E77B23">
              <w:t>BSc, 7.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Veronika Halas</w:t>
            </w:r>
          </w:p>
          <w:p w:rsidR="00DB4822" w:rsidRDefault="00DB4822" w:rsidP="00E11062">
            <w:pPr>
              <w:pStyle w:val="Konzulensek"/>
            </w:pPr>
            <w:r w:rsidRPr="00DB4822">
              <w:t>  associate professor, KE ÁTK</w:t>
            </w:r>
          </w:p>
        </w:tc>
      </w:tr>
      <w:tr w:rsidR="00DB4822" w:rsidTr="00DB4822">
        <w:tc>
          <w:tcPr>
            <w:tcW w:w="9854" w:type="dxa"/>
          </w:tcPr>
          <w:p w:rsidR="00DB4822" w:rsidRPr="00DB4822" w:rsidRDefault="00DB4822" w:rsidP="004D7940">
            <w:pPr>
              <w:pStyle w:val="Konzulensek"/>
            </w:pPr>
            <w:r w:rsidRPr="00DB4822">
              <w:t>Annamária Tischler</w:t>
            </w:r>
          </w:p>
          <w:p w:rsidR="00DB4822" w:rsidRDefault="00DB4822" w:rsidP="00E11062">
            <w:pPr>
              <w:pStyle w:val="Konzulensek"/>
            </w:pPr>
            <w:r w:rsidRPr="00DB4822">
              <w:t>PhD students, KE ÁTK</w:t>
            </w:r>
          </w:p>
        </w:tc>
      </w:tr>
      <w:tr w:rsidR="00DB4822" w:rsidTr="00DB4822">
        <w:tc>
          <w:tcPr>
            <w:tcW w:w="9854" w:type="dxa"/>
          </w:tcPr>
          <w:p w:rsidR="00DB4822" w:rsidRPr="00DB4822" w:rsidRDefault="00DB4822" w:rsidP="004D7940">
            <w:pPr>
              <w:pStyle w:val="Konzulensek"/>
            </w:pPr>
            <w:r w:rsidRPr="00DB4822">
              <w:t>András Péter Horák</w:t>
            </w:r>
          </w:p>
          <w:p w:rsidR="00DB4822" w:rsidRDefault="00DB4822" w:rsidP="00E11062">
            <w:pPr>
              <w:pStyle w:val="Konzulensek"/>
            </w:pPr>
            <w:r w:rsidRPr="00DB4822">
              <w:t>PhD students, KE 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protein and amino acid supply on the performance of laying hens from different genotypes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optimal protein and amino acid supply of laying hen is critical both from economic and environmental point of view. However, very few independent international or national recommendations from the last 10 years can be found on the nutritional, protein and amino acid needs of the high performance genotypes. Therefore the aim of our trial was to study the effect of different dietary protein and amino acid level on the performance of laying hens during 48 week long egg production cycle, and whether different genotypes respond to protein and amino acid supply in a different way. In the course of the trial 240 layers were used, 120 Harco and 120 Tetra SL. The following dietary treatments were set up: treatment A with 180 g protein, 9.5 g Lys, 8.9 g M+C, treatment B 170 g protein, 8.8 g Lys, 7.8 g M+C, treatment C 160 g protein, 8.8 g Lys, 7.5 g M+C, and treatment D 160 g protein, 8.2 g Lys and 73 g M+C per kg of feed. The experimental feeds were isocaloric (11.5 MJ/kg). The feed intake was recorded weekly, the eggs were collected daily. Two-way-ANOVA was used in statistics, and the performance traits were analyzed by time trend.</w:t>
      </w:r>
    </w:p>
    <w:p>
      <w:pPr>
        <w:pBdr/>
        <w:spacing w:before="240" w:after="240" w:line="240" w:lineRule="auto"/>
        <w:ind w:left="0" w:right="0"/>
        <w:jc w:val="left"/>
      </w:pPr>
      <w:r>
        <w:rPr>
          <w:color w:val="000000"/>
          <w:sz w:val="24"/>
          <w:szCs w:val="24"/>
        </w:rPr>
        <w:t xml:space="preserve">There was no significant genotype dietary treatment interaction in any of traits. Based on our results, it can be concluded that in the first quarter of the laying period hens can produce the same weight of eggs if fed diet with 17% of dietary protein (8.8 g/kg Lys, 7.8 g/kg M+C) compared to 18% of dietary protein feeds. By reaching the production peak the dietary protein can be reduced to 16% with 8.2 g/kg Lys and 73 g/kg M+C without detrimental effect on production level. High dietary protein (17-18%) feeds resulted in non preferable big eggs from the 6th month of laying, while in course of low protein (16%) feeds the big size eggs are produced only from the 8th month. Our data show that with optimal amino acid and reduced protein content feeds the egg production is more economic, considering that by feeding 16% protein feed the protein needed for 1 kg of egg mass is reduced. Comparing the genotypes it can be stated that the Tetra SL hybrid showed better production in all measured parameters than Harco, therefore Tetra SL is recommended for intensive laying farms.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17547">
    <w:multiLevelType w:val="hybridMultilevel"/>
    <w:lvl w:ilvl="0" w:tplc="97986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17547">
    <w:abstractNumId w:val="22117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209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