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BERKES LAURA</w:t>
            </w:r>
          </w:p>
          <w:p w:rsidR="00C275A3" w:rsidRDefault="00A96AEC" w:rsidP="00C275A3">
            <w:pPr>
              <w:pStyle w:val="Hallgatokepzes"/>
            </w:pPr>
            <w:r>
              <w:t>Takarmányozási és takarmánybiztonsági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Tossenberger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takarmányok fitáz-aktivitásának hatása a foszfor és kalcium emészthetőségére, kalászos gabona alapú takarmánykeverék etetésekor szoptató kocákban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Szoptatókocákkal beállított kísérletünk során arra kerestünk választ, hogy a Trichoderma reesei (TRR) által termelt fitáz különböző dózisai miként befolyásolják a foszfor és kalcium emészthetőségét búza-árpa-szójadara (I. kísérlet)- illetve kukorica-szójadara (II. kísérlet) alapú takarmánykeverékek etetésekor, a laktáció csúcsán. A beállított két kísérletet a laktáció azonos fázisában lévő, hibrid kocákkal végeztük el.</w:t>
      </w:r>
      <w:r>
        <w:rPr>
          <w:color w:val="000000"/>
          <w:sz w:val="24"/>
          <w:szCs w:val="24"/>
        </w:rPr>
        <w:br/>
        <w:t xml:space="preserve">Az I. kísérletben etetett takarmányok anorganikus foszfor kiegészítést nem tartalmaztak, Pössz-tartalmuk 3,6 g/kg volt, emészthető P-tartalmuk pedig 1,5 g/kg. Az A-kezelésben az alapdiéta fitáz-kiegészítés nélkül készült. A további kezelésekben az alapdiétát 125 PPU/kg (B-kezelés), 250 PPU/kg (C-kezelés), illetve 500 PPU/kg (D-kezelés) mennyiségben TRR által termelt fitáz enzimmel egészítettük ki.</w:t>
      </w:r>
      <w:r>
        <w:rPr>
          <w:color w:val="000000"/>
          <w:sz w:val="24"/>
          <w:szCs w:val="24"/>
        </w:rPr>
        <w:br/>
        <w:t xml:space="preserve">A II. kísérlet kísérleti takarmányai az azonos számított emészthető P-tartalom (1,5 g/kg) biztosítása érdekében 3,5 g/kg anorganikus foszfor-kiegészítést tartalmaztak, ezért Pössz-tartalmuk 4,3 g/kg volt. Az A-kezelésben az alapdiéta fitáz-kiegészítés nélkül került bekeverésre. A B- és C-kezelésekben az alapdiétát 250 PPU/kg (B-kezelés) és 500 PPU/kg (C-kezelés) mennyiségben ugyancsak TRR által termelt fitázzal egészítettük ki.</w:t>
      </w:r>
      <w:r>
        <w:rPr>
          <w:color w:val="000000"/>
          <w:sz w:val="24"/>
          <w:szCs w:val="24"/>
        </w:rPr>
        <w:br/>
        <w:t xml:space="preserve">A kalászos-gabona-szójadara alapú diéták etetése mellett végzett vizsgálatok eredményei alapján megállapítható, hogy az A-kezelés takarmányait fogyasztó állatok takarmányfelvétele szignifikánsan (P≤0,05) elmaradt a fitázzal kiegészített takarmányt fogyasztó társaik takarmányfelvételétől. Az A-kezelésben mért kis P-emészthetőséget a legkisebb fitázdózis (125 PPU/kg) már szignifikánsan javítja (P≤0,05). A fitáz dózis növelése (250 PPU/kg és 500 PPU/kg) további P-emészthetőség javulással járt együtt (P≤0,05). A Ca emészthetősége már a legkisebb fitázdózis (125 PPU/kg) hatására szignifikánsan megnőtt (P≤0,05). A további fitázdózisok (250 és 500 PPU/kg) nem jártak együtt a diéták Ca-emészthetőségének javulásával (P≥0,05). A vizsgált fitázdózisok alapján a P-emészthetőség maximuma nem állapítható meg.</w:t>
      </w:r>
      <w:r>
        <w:rPr>
          <w:color w:val="000000"/>
          <w:sz w:val="24"/>
          <w:szCs w:val="24"/>
        </w:rPr>
        <w:br/>
        <w:t xml:space="preserve">A kukorica-szójadara alapú diétákkal végzett vizsgálatok eredményei alapján megállapítható, hogy az eltérő fitázaktivitás a kocák takarmányfelvételét nem befolyásolta (P≥0,05). Az alapdiétához kevert 250 PPU/kg fitáz szignifikáns foszfor- és kalcium-emészthetőség javulást eredményezett (P≥0,05), az ennél nagyobb fitázdózis (500 PPU/kg) nem járt együtt a sem a foszfor, sem a kalcium emészthetőségének további növekedésével (P≥0,05).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84880">
    <w:multiLevelType w:val="hybridMultilevel"/>
    <w:lvl w:ilvl="0" w:tplc="38078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84880">
    <w:abstractNumId w:val="43184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021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