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BÁLINT</w:t>
            </w:r>
          </w:p>
          <w:p w:rsidR="00C275A3" w:rsidRDefault="00A96AEC" w:rsidP="00C275A3">
            <w:pPr>
              <w:pStyle w:val="Hallgatokepzes"/>
            </w:pPr>
            <w:r>
              <w:t>Department of Nature Protection</w:t>
            </w:r>
            <w:r>
              <w:br/>
            </w:r>
            <w:r w:rsidR="00E77B23">
              <w:t>BSc, 7.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Farkas PhD</w:t>
            </w:r>
          </w:p>
          <w:p w:rsidR="00DB4822" w:rsidRDefault="00DB4822" w:rsidP="00E11062">
            <w:pPr>
              <w:pStyle w:val="Konzulensek"/>
            </w:pPr>
            <w:r w:rsidRPr="00DB4822">
              <w:t>associate professor,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population dynamics and spatial distribution of Protracheoniscus politus (Isopoda: Oniscidea)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aims of my research were (1) to analyse the spatial distribution of the isopod species Protracheoniscus politus in small and medium scales and (2) to describe the parameters of its population dynamics in different woodland habitats. Six sampling sites were chosen in a heterogeneous forest near Kaposvár (Somogy County). Nine pitfall traps were installed in the next habitats: two acacia woods, three oak woods and a pine grove. The traps were emptied 11 times between March and November in 2011. The duration between two samplings was 21 days. Homogeneity of samples was tested using c2 statistics. Spatial distribution was analysed by index of dispersion (ID). Difference of spatial distribution between habitats was examined using one-way ANOVA. The traps caught a total of 7,010 individuals of P. politus in the six habitats. The total sample proved to be female biased (59-41%). The proportion of females exceeded the males in four habitats but there was no significant difference between the sex ratio in “Tölgyes tető” and “Tölgyes tópart” sampling sites. The population dynamics of the species can be characterized with a bimodal curve. The ratio of males shifted during April because of mating. Their strong surface activity caused the first peak of the curve. The proportion of females was the highest in late summer. The reproduction occurred in summer as the ratio of gravid females shifted in June and in August. Inside a sampling patch, the spatial distribution of the species was mostly aggregated in each of the habitats by the united data (females and males together). Random and segregated dispersion happened only in four samples of the acacia woods and once in an oak wood. Evaluating the separated data of male individuals, the value of ID was often equal or under 1. These samples were taken in summer and autumn when the abundance of the males decrease. The dispersion of female specimens proved to be segregate only in one of the acacia wood and in “Tölgyes tópart” sampling site. The homogeneity tests of the data by small and a medium scale supported the results intimating to the aggregate spatial dispersion type. By the analysis of variance of captured individuals in different sampling sites, the most significant differences was found between the acacia wood (“Akác 1”) and the pine grove. No difference was found between the two acacia woods (“Akác 1”, “Akác 2”) and two oak woods (“Tölgyes tető”, “Tölgyes tópart”).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76616">
    <w:multiLevelType w:val="hybridMultilevel"/>
    <w:lvl w:ilvl="0" w:tplc="98044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76616">
    <w:abstractNumId w:val="56576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409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