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TOTH</w:t>
            </w:r>
          </w:p>
          <w:p w:rsidR="00C275A3" w:rsidRDefault="00A96AEC" w:rsidP="00C275A3">
            <w:pPr>
              <w:pStyle w:val="Hallgatokepzes"/>
            </w:pPr>
            <w:r>
              <w:t>Mathematics/German teacher</w:t>
            </w:r>
            <w:r>
              <w:br/>
            </w:r>
            <w:r w:rsidR="00E77B23">
              <w:t>MSc, 12.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Ambrus</w:t>
            </w:r>
          </w:p>
          <w:p w:rsidR="00DB4822" w:rsidRDefault="00DB4822" w:rsidP="00E11062">
            <w:pPr>
              <w:pStyle w:val="Konzulensek"/>
            </w:pPr>
            <w:r w:rsidRPr="00DB4822">
              <w:t>lecturer,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competence and modeling steps. Case study about students of an eight-year secondary school.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the study is to examine the role of the mathematical modeling tasks in education. An additional goal is to test this kind of tasks on students who have never done similar tasks before. </w:t>
      </w:r>
    </w:p>
    <w:p>
      <w:pPr>
        <w:pBdr/>
        <w:spacing w:before="240" w:after="240" w:line="240" w:lineRule="auto"/>
        <w:ind w:left="0" w:right="0"/>
        <w:jc w:val="left"/>
      </w:pPr>
      <w:r>
        <w:rPr>
          <w:color w:val="000000"/>
          <w:sz w:val="24"/>
          <w:szCs w:val="24"/>
        </w:rPr>
        <w:t xml:space="preserve">Based on the students' solutions we would like to discover the instinctive modeling process, which steps are applied and which steps are skipped during the completion of the tasks.The study begins with a theoretical prologue, where we define the meaning of the modeling competence, the modeling process and the properties of the modeling tasks.</w:t>
      </w:r>
    </w:p>
    <w:p>
      <w:pPr>
        <w:pBdr/>
        <w:spacing w:before="240" w:after="240" w:line="240" w:lineRule="auto"/>
        <w:ind w:left="0" w:right="0"/>
        <w:jc w:val="left"/>
      </w:pPr>
      <w:r>
        <w:rPr>
          <w:color w:val="000000"/>
          <w:sz w:val="24"/>
          <w:szCs w:val="24"/>
        </w:rPr>
        <w:t xml:space="preserve">It is followed by the comparison of the German and Hungarian curricula by their view about the modeling. Although the curricula of these two countries are built differently, their definition of the mathematical modeling and its sub skills are similar.</w:t>
      </w:r>
    </w:p>
    <w:p>
      <w:pPr>
        <w:pBdr/>
        <w:spacing w:before="240" w:after="240" w:line="240" w:lineRule="auto"/>
        <w:ind w:left="0" w:right="0"/>
        <w:jc w:val="left"/>
      </w:pPr>
      <w:r>
        <w:rPr>
          <w:color w:val="000000"/>
          <w:sz w:val="24"/>
          <w:szCs w:val="24"/>
        </w:rPr>
        <w:t xml:space="preserve">In the subsequent part of the study the examined tasks and their possible solutions are presented alongside with the motivations of the chosen tasks.</w:t>
      </w:r>
    </w:p>
    <w:p>
      <w:pPr>
        <w:pBdr/>
        <w:spacing w:before="240" w:after="240" w:line="240" w:lineRule="auto"/>
        <w:ind w:left="0" w:right="0"/>
        <w:jc w:val="left"/>
      </w:pPr>
      <w:r>
        <w:rPr>
          <w:color w:val="000000"/>
          <w:sz w:val="24"/>
          <w:szCs w:val="24"/>
        </w:rPr>
        <w:t xml:space="preserve">Henceforward, we discuss the circumstances and results of the research.</w:t>
      </w:r>
    </w:p>
    <w:p>
      <w:pPr>
        <w:pBdr/>
        <w:spacing w:before="240" w:after="240" w:line="240" w:lineRule="auto"/>
        <w:ind w:left="0" w:right="0"/>
        <w:jc w:val="left"/>
      </w:pPr>
      <w:r>
        <w:rPr>
          <w:color w:val="000000"/>
          <w:sz w:val="24"/>
          <w:szCs w:val="24"/>
        </w:rPr>
        <w:t xml:space="preserve">The tasks were solved by the students of an eight-year secondary school. We examined the modeling steps in their solutions. First we checked the existence of the steps, and later their validity.</w:t>
      </w:r>
    </w:p>
    <w:p>
      <w:pPr>
        <w:pBdr/>
        <w:spacing w:before="240" w:after="240" w:line="240" w:lineRule="auto"/>
        <w:ind w:left="0" w:right="0"/>
        <w:jc w:val="left"/>
      </w:pPr>
      <w:r>
        <w:rPr>
          <w:color w:val="000000"/>
          <w:sz w:val="24"/>
          <w:szCs w:val="24"/>
        </w:rPr>
        <w:t xml:space="preserve">In conclusion, the first three steps of modeling appeared in the solution of many students without relevant education. The biggest deficiency was shown in the evaluation of the result.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62112">
    <w:multiLevelType w:val="hybridMultilevel"/>
    <w:lvl w:ilvl="0" w:tplc="62881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62112">
    <w:abstractNumId w:val="60262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857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