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PÁLINKÓ</w:t>
            </w:r>
          </w:p>
          <w:p w:rsidR="00C275A3" w:rsidRDefault="00A96AEC" w:rsidP="00C275A3">
            <w:pPr>
              <w:pStyle w:val="Hallgatokepzes"/>
            </w:pPr>
            <w:r>
              <w:t>Biology-Geography teacher</w:t>
            </w:r>
            <w:r>
              <w:br/>
            </w:r>
            <w:r w:rsidR="00E77B23">
              <w:t>Unified, 10.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Kriska</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need and potentials of curriculum development within the topic of micology in basic and secondary education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need for curriculum development has emerged from a study focusing on the mycology-oriented chapters of 18 textbooks used in primary and secondary schools. The study has found lacks and deficiencies in terms of scientific descriptions, the chosen demonstration material and the exercises assigned by the text, among others.</w:t>
      </w:r>
      <w:r>
        <w:rPr>
          <w:color w:val="000000"/>
          <w:sz w:val="24"/>
          <w:szCs w:val="24"/>
        </w:rPr>
        <w:br/>
        <w:t xml:space="preserve">Beyond making up for the observed deficiencies, the aim of the curriculum development was to create an educational tool with a novel approach and curriculum structure, consisting of textbook chapters and digital material complementing these.</w:t>
      </w:r>
      <w:r>
        <w:rPr>
          <w:color w:val="000000"/>
          <w:sz w:val="24"/>
          <w:szCs w:val="24"/>
        </w:rPr>
        <w:br/>
        <w:t xml:space="preserve">Organized into a spirally structured curriculum designed for three age-groups, the textbook-chapters’ information content is complemented with new aspects and broadens with advancement. The system of exercises works on several levels of knowledge, progressing from simpler tasks to the level and exercise types of the biology matriculation.</w:t>
      </w:r>
      <w:r>
        <w:rPr>
          <w:color w:val="000000"/>
          <w:sz w:val="24"/>
          <w:szCs w:val="24"/>
        </w:rPr>
        <w:br/>
        <w:t xml:space="preserve">Providing a broader information and demonstrational content, the DVD supplement may facilitate learning and satisfy interested students’ thirst for knowledge. In turn, the graphic animations and digital tests provide means of learning that are not available in a printed textbook.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47408">
    <w:multiLevelType w:val="hybridMultilevel"/>
    <w:lvl w:ilvl="0" w:tplc="155038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47408">
    <w:abstractNumId w:val="147474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87033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