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MÁRIA</w:t>
            </w:r>
          </w:p>
          <w:p w:rsidR="00C275A3" w:rsidRDefault="00A96AEC" w:rsidP="00C275A3">
            <w:pPr>
              <w:pStyle w:val="Hallgatokepzes"/>
            </w:pPr>
            <w:r>
              <w:t>Fizika BSc (2010)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Radnóti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fizikatanítás pedagógiája: Matematikai eszközök alkalmazása a fizika tanításában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fizikatanítás pedagógiája: Matematikai eszközök alkalmazása a fizika tanításában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Dolgozatomban bemutatok egy lehetséges módot arra, hogyan alkalmazzuk a matematikát a fizika tanításában. Ebben jelentős szerepet kap az, hogy miként tudjuk összekapcsolni a matematikai ismereteket a való élettel.</w:t>
      </w:r>
      <w:r>
        <w:rPr>
          <w:color w:val="000000"/>
          <w:sz w:val="24"/>
          <w:szCs w:val="24"/>
        </w:rPr>
        <w:br/>
        <w:t xml:space="preserve">Dolgozatomban a matematikai eszközök lehetséges alkalmazását mutatom be reáltagozatos, valamint általános- és humán tagozatos tanulócsoportok esetében is.</w:t>
      </w:r>
      <w:r>
        <w:rPr>
          <w:color w:val="000000"/>
          <w:sz w:val="24"/>
          <w:szCs w:val="24"/>
        </w:rPr>
        <w:br/>
        <w:t xml:space="preserve">Reáltagozatosoknál, akik továbbtanulni szándékoznak fizikából, nagyon fontos megalapozni az egyetemi tanulmányokat, amire több példát is bemutatok.</w:t>
      </w:r>
      <w:r>
        <w:rPr>
          <w:color w:val="000000"/>
          <w:sz w:val="24"/>
          <w:szCs w:val="24"/>
        </w:rPr>
        <w:br/>
        <w:t xml:space="preserve">A különböző beállítottságú célcsoportok esetében különböző pedagógiai eljárást és példákat alkalmazok.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fizikát emelt szinten tanuló- illetve reáltagozatos diákok esetében egy adott témakör feldolgozásának szakaszai a következők:</w:t>
      </w:r>
      <w:r>
        <w:rPr>
          <w:color w:val="000000"/>
          <w:sz w:val="24"/>
          <w:szCs w:val="24"/>
        </w:rPr>
        <w:br/>
        <w:t xml:space="preserve">1) Matematikai formulák és azok magyarázata</w:t>
      </w:r>
      <w:r>
        <w:rPr>
          <w:color w:val="000000"/>
          <w:sz w:val="24"/>
          <w:szCs w:val="24"/>
        </w:rPr>
        <w:br/>
        <w:t xml:space="preserve">2) Fogalmi váltások,fogalomrendszer</w:t>
      </w:r>
      <w:r>
        <w:rPr>
          <w:color w:val="000000"/>
          <w:sz w:val="24"/>
          <w:szCs w:val="24"/>
        </w:rPr>
        <w:br/>
        <w:t xml:space="preserve">3) Jelenségek,jelenségértelmezés</w:t>
      </w:r>
      <w:r>
        <w:rPr>
          <w:color w:val="000000"/>
          <w:sz w:val="24"/>
          <w:szCs w:val="24"/>
        </w:rPr>
        <w:br/>
        <w:t xml:space="preserve">4) Jelenségmagyarázat</w:t>
      </w:r>
      <w:r>
        <w:rPr>
          <w:color w:val="000000"/>
          <w:sz w:val="24"/>
          <w:szCs w:val="24"/>
        </w:rPr>
        <w:br/>
        <w:t xml:space="preserve">5) A jelenségek mindennapi életben való megnyilvánulása és történetiség</w:t>
      </w:r>
      <w:r>
        <w:rPr>
          <w:color w:val="000000"/>
          <w:sz w:val="24"/>
          <w:szCs w:val="24"/>
        </w:rPr>
        <w:br/>
        <w:t xml:space="preserve">6) Problémamegoldás</w:t>
      </w:r>
      <w:r>
        <w:rPr>
          <w:color w:val="000000"/>
          <w:sz w:val="24"/>
          <w:szCs w:val="24"/>
        </w:rPr>
        <w:br/>
        <w:t xml:space="preserve">7) Szintetizálás</w:t>
      </w:r>
      <w:r>
        <w:rPr>
          <w:color w:val="000000"/>
          <w:sz w:val="24"/>
          <w:szCs w:val="24"/>
        </w:rPr>
        <w:br/>
        <w:t xml:space="preserve">8) Számonkérés.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általános- és humán tagozatos tanulók esetében a probléma alapú tanulás alapgondolatai szerint megalkotott szakaszokban történik a témakör feldolgozása.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TDK-dolgozat, ami egy feldolgozási javaslat rendszer, melyet mások is tudnak használni később.</w:t>
      </w:r>
      <w:r>
        <w:rPr>
          <w:color w:val="000000"/>
          <w:sz w:val="24"/>
          <w:szCs w:val="24"/>
        </w:rPr>
        <w:br/>
        <w:t xml:space="preserve">További feladat a módszer osztályszintű kipróbálása.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00588">
    <w:multiLevelType w:val="hybridMultilevel"/>
    <w:lvl w:ilvl="0" w:tplc="76629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00588">
    <w:abstractNumId w:val="69200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70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