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PALOTAY DORKA</w:t>
            </w:r>
          </w:p>
          <w:p w:rsidR="00C275A3" w:rsidRDefault="00A96AEC" w:rsidP="00C275A3">
            <w:pPr>
              <w:pStyle w:val="Hallgatokepzes"/>
            </w:pPr>
            <w:r>
              <w:t>Matematika</w:t>
            </w:r>
            <w:r>
              <w:br/>
            </w:r>
            <w:r w:rsidR="00E77B23">
              <w:t>BSc, 7.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POZSONYI ENIKŐ</w:t>
            </w:r>
          </w:p>
          <w:p w:rsidR="00DB4822" w:rsidRDefault="00C275A3" w:rsidP="004D7940">
            <w:pPr>
              <w:pStyle w:val="Hallgatokepzes"/>
            </w:pPr>
            <w:r>
              <w:t>Matematika</w:t>
            </w:r>
            <w:r w:rsidR="00A96AEC">
              <w:br/>
              <w:t>BSc,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Természettudományi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Szabó Csaba</w:t>
            </w:r>
          </w:p>
          <w:p w:rsidR="00DB4822" w:rsidRDefault="00DB4822" w:rsidP="00E11062">
            <w:pPr>
              <w:pStyle w:val="Konzulensek"/>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 tudom, hogy miről van szó - Iskolai feladatok absztrakt algebrai háttérrel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Kutatásunk alapja az a szomorú tapasztalat, hogy a tanár szakos hallgatók általában nem tudják, pontosan mire fogják felhasználni az egyetemen tanultakat. Dolgozatunkban azt vizsgáljuk, hogy az egyetemi absztrakt algebra anyagot középiskolai tanárként közvetlenül hogyan alkalmazhatjuk iskolai feladatok megoldásakor, illetve új feladatok kitalálásakor. Előadásunkban mindezt egy versenyfeladaton keresztül mutatjuk be, ahol rávilágítunk a két megoldás közti kapcsolatra is.</w:t>
      </w:r>
    </w:p>
    <w:p>
      <w:pPr>
        <w:pBdr/>
        <w:spacing w:before="240" w:after="240" w:line="240" w:lineRule="auto"/>
        <w:ind w:left="0" w:right="0"/>
        <w:jc w:val="left"/>
      </w:pP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34362">
    <w:multiLevelType w:val="hybridMultilevel"/>
    <w:lvl w:ilvl="0" w:tplc="67823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34362">
    <w:abstractNumId w:val="10234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634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