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VERONIKA DAXNER</w:t>
            </w:r>
          </w:p>
          <w:p w:rsidR="00C275A3" w:rsidRDefault="00A96AEC" w:rsidP="00C275A3">
            <w:pPr>
              <w:pStyle w:val="Hallgatokepzes"/>
            </w:pPr>
            <w:r>
              <w:t>English teaching</w:t>
            </w:r>
            <w:r>
              <w:br/>
            </w:r>
            <w:r w:rsidR="00E77B23">
              <w:t>MA, 9.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Révész, PhD</w:t>
            </w:r>
          </w:p>
          <w:p w:rsidR="00DB4822" w:rsidRDefault="00DB4822" w:rsidP="00E11062">
            <w:pPr>
              <w:pStyle w:val="Konzulensek"/>
            </w:pPr>
            <w:r w:rsidRPr="00DB4822">
              <w:t>teaching assistant,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Minimalizing the role of literacy in English Language Teaching: Dogme teaching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present theoretical writing discusses the minimalized role of literacy in English language teaching focusing on a recent method called “Dogme” teaching that deliberately dismisses the textbook and printed materials, thereby foregrounding oral communication over literacy. Reasons that account for an interest in Dogme are discussed before the methodology is investigated in light of the learner-centered approach to highlight and evaluate the similarities and differences that spring from its dedication to a conversational learning style and restricting the use of third-party materials as well as stripping the classroom of overbearing technology. </w:t>
      </w:r>
    </w:p>
    <w:p>
      <w:pPr>
        <w:pBdr/>
        <w:spacing w:before="240" w:after="240" w:line="240" w:lineRule="auto"/>
        <w:ind w:left="0" w:right="0"/>
        <w:jc w:val="left"/>
      </w:pPr>
      <w:r>
        <w:rPr>
          <w:color w:val="000000"/>
          <w:sz w:val="24"/>
          <w:szCs w:val="24"/>
        </w:rPr>
        <w:t xml:space="preserve">Dogme is considered to represent an extreme stand on language teaching, one that encourages a most drastic break away from prevailing classroom practice. For this reason Dogme can be interpreted as a challenge to the ELT profession and community that aspires to prompt teachers and applied linguists alike to revisit their most fundamental beliefs about language teaching with the probing eyes of the critic. </w:t>
      </w:r>
    </w:p>
    <w:p>
      <w:pPr>
        <w:pBdr/>
        <w:spacing w:before="240" w:after="240" w:line="240" w:lineRule="auto"/>
        <w:ind w:left="0" w:right="0"/>
        <w:jc w:val="left"/>
      </w:pPr>
      <w:r>
        <w:rPr>
          <w:color w:val="000000"/>
          <w:sz w:val="24"/>
          <w:szCs w:val="24"/>
        </w:rPr>
        <w:t xml:space="preserve">Finally, the challenges inherent to Dogme are addressed through a review of reactions to Dogme from the ELT profession, indicating both concerns and recognized potentials that characterize Dogme teaching.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769530">
    <w:multiLevelType w:val="hybridMultilevel"/>
    <w:lvl w:ilvl="0" w:tplc="235532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769530">
    <w:abstractNumId w:val="577695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2854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