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GÓG</w:t>
            </w:r>
          </w:p>
          <w:p w:rsidR="00C275A3" w:rsidRDefault="00A96AEC" w:rsidP="00C275A3">
            <w:pPr>
              <w:pStyle w:val="Hallgatokepzes"/>
            </w:pPr>
            <w:r>
              <w:t>English and American Studies</w:t>
            </w:r>
            <w:r>
              <w:br/>
            </w:r>
            <w:r w:rsidR="00E77B23">
              <w:t>MA, 3.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É. Kiss</w:t>
            </w:r>
          </w:p>
          <w:p w:rsidR="00DB4822" w:rsidRDefault="00DB4822" w:rsidP="00E11062">
            <w:pPr>
              <w:pStyle w:val="Konzulensek"/>
            </w:pPr>
            <w:r w:rsidRPr="00DB4822">
              <w:t>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Alternative S-structure Subject Positions in English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argues that specific and non-specific subjects do not occupy the same subject positions in the S-Structure of the English sentence. Diesing (1988, 1992a,b) and Kratzer (1989) demonstrate that alternative subject positions are available in S-structure and in Phonological Form (PF) for bare plural nouns in languages with flexible word order such as German. In English, however, bare plural nouns are claimed to occupy different positions only at Logical Form (LF). É. Kiss (1996), on the other hand, argues that the subjects of the English know, whose subject is necessarily specific, and be born, whose subject is necessarily non-specific, stand in different subject positions even in S-structure.</w:t>
      </w:r>
    </w:p>
    <w:p>
      <w:pPr>
        <w:pBdr/>
        <w:spacing w:before="240" w:after="240" w:line="240" w:lineRule="auto"/>
        <w:ind w:left="0" w:right="0"/>
        <w:jc w:val="left"/>
      </w:pPr>
      <w:r>
        <w:rPr>
          <w:color w:val="000000"/>
          <w:sz w:val="24"/>
          <w:szCs w:val="24"/>
        </w:rPr>
        <w:t xml:space="preserve">In fact, as argued by É. Kiss (1996), specific subjects are raised into the specifier position of a projection between IP and CP, called Referential Phrase or Topic Phrase, while non-specific subjects can stand in the specifier position of IP, representing the internal subject position.</w:t>
      </w:r>
    </w:p>
    <w:p>
      <w:pPr>
        <w:pBdr/>
        <w:spacing w:before="240" w:after="240" w:line="240" w:lineRule="auto"/>
        <w:ind w:left="0" w:right="0"/>
        <w:jc w:val="left"/>
      </w:pPr>
      <w:r>
        <w:rPr>
          <w:color w:val="000000"/>
          <w:sz w:val="24"/>
          <w:szCs w:val="24"/>
        </w:rPr>
        <w:t xml:space="preserve">The question that this paper raises is whether or not the two alternative subject positions are available in case of other verb classes as well. Unergative, unaccusative and passive verbs are analysed with the help of É. Kiss’s (1996) tests conducted on know and be born. The tests are based on the following facts: (a) sentence adverbials always precede non-specific subjects, while they can follow specific ones; (b) only non-specific subjects allow PP and CP extraposition; (c) non-specific subjects cannot precede the negative particle, whereas the specific ones can; (d) non-specific subjects do not allow VP-deletion and question tag formation; (e) if the subject is non-specific, only, even or also preceding it can take sentential scope.</w:t>
      </w:r>
    </w:p>
    <w:p>
      <w:pPr>
        <w:pBdr/>
        <w:spacing w:before="240" w:after="240" w:line="240" w:lineRule="auto"/>
        <w:ind w:left="0" w:right="0"/>
        <w:jc w:val="left"/>
      </w:pPr>
      <w:r>
        <w:rPr>
          <w:color w:val="000000"/>
          <w:sz w:val="24"/>
          <w:szCs w:val="24"/>
        </w:rPr>
        <w:t xml:space="preserve">Testing the behaviour of predicate types that may allow specific and non-specific subjects alike, I conclude that the internal subject position, [Spec, IP] is available for the subject in case of its [-specific] interpretation, otherwise the subject moves in the external subject position, [Spec, TopP]. Besides, the property that the subject of unergative verbs is base-generated as an external argument and those of unaccusative and passive verbs are base-generated as internal arguments affects the surface positions of the subjects in the sense that in most of the tests the subjects of unaccusative and passive verbs have showed nearly identical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95293">
    <w:multiLevelType w:val="hybridMultilevel"/>
    <w:lvl w:ilvl="0" w:tplc="33569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95293">
    <w:abstractNumId w:val="259952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77633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