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RYABCHENKO YEVHEN/RJABCSENKÓ EUGÉN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SÜLYI ÁKOS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Fegyverneki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Karácsony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Polihipergeometrikus eloszlás értékeinek megadása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Polihipergeometrikus eloszlás értékeinek megállapítása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polihipergeometrikus eloszlás valószínűségei olyan alapsokaságból történő, a klasszikus urnamodell szerinti kiválasztás során állnak elő, melynek elemei több kategóriába sorolhatóak, visszatevés nélkül történnek. A hipergeometrikus eloszlás tekinthető speciális esetének, ekkor az alapsokaság kategóriáinak száma a felbontás során kettő. Példaként tekinthetünk egy több fordulós nyereményjátékot, melynek a díja körönként megszerezhető összegekre van bontva, az összegek között lehetnek azonosak. A játékos körönként véletlenszerűen egy összeget nyer. Annak megállapítására, hogy a játékosnak több kör után mekkora a nyereménye és ennek mekkora a valószínűsége a polihipergeometrikus eloszlás ad választ. Az eloszlás értékeinek megadására a klasszikus kombinatorikus megközelítés szolgáltat képlet.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597600"/>
            <wp:docPr id="28070743" name="name151306089bd3e9" descr="imgtmp_2264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1.gif"/>
                    <pic:cNvPicPr/>
                  </pic:nvPicPr>
                  <pic:blipFill>
                    <a:blip r:embed="rId151306089bd3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59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,'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90053185" name="name151306089be731" descr="imgtmp_2264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2.gif"/>
                    <pic:cNvPicPr/>
                  </pic:nvPicPr>
                  <pic:blipFill>
                    <a:blip r:embed="rId151306089be6f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esemény: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115200"/>
            <wp:docPr id="9827482" name="name151306089bea0f" descr="imgtmp_2264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3.gif"/>
                    <pic:cNvPicPr/>
                  </pic:nvPicPr>
                  <pic:blipFill>
                    <a:blip r:embed="rId151306089be9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-edik kategóriából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28178582" name="name151306089becbf" descr="imgtmp_2264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4.gif"/>
                    <pic:cNvPicPr/>
                  </pic:nvPicPr>
                  <pic:blipFill>
                    <a:blip r:embed="rId151306089bec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darabot húztunk ki,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417600"/>
            <wp:docPr id="29082583" name="name151306089bef68" descr="imgtmp_2264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5.gif"/>
                    <pic:cNvPicPr/>
                  </pic:nvPicPr>
                  <pic:blipFill>
                    <a:blip r:embed="rId151306089bef2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41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az összes elem száma,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388800"/>
            <wp:docPr id="15703851" name="name151306089bf21f" descr="imgtmp_2264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6.gif"/>
                    <pic:cNvPicPr/>
                  </pic:nvPicPr>
                  <pic:blipFill>
                    <a:blip r:embed="rId151306089bf1e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38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 kihúzott elemek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valószínűség numerikus meghatározásához szükséges egy leszámlálás, amely meghatározott sorrendben előállítja az adott eseményhez tartozó ki értékeket. Ezt a sorrendet sikerült meghatároznunk és ebben a keresés is hatékony. Ezt kihasználva a binomiális együtthatók számítását is áthidaltuk, melyek számítási nehézségeket okozhatnak.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31200" cy="288000"/>
            <wp:docPr id="16598913" name="name151306089bf6ba" descr="imgtmp_22649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7.gif"/>
                    <pic:cNvPicPr/>
                  </pic:nvPicPr>
                  <pic:blipFill>
                    <a:blip r:embed="rId151306089bf67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28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teljes valószínűség-tételét alkalmazva értük el, ahol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31023167" name="name151306089bf968" descr="imgtmp_22649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8.gif"/>
                    <pic:cNvPicPr/>
                  </pic:nvPicPr>
                  <pic:blipFill>
                    <a:blip r:embed="rId151306089bf92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39444021" name="name151306089bfc1c" descr="imgtmp_22649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9.gif"/>
                    <pic:cNvPicPr/>
                  </pic:nvPicPr>
                  <pic:blipFill>
                    <a:blip r:embed="rId151306089bfbe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-edik húzáshoz tartozó események,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65600"/>
            <wp:docPr id="97612888" name="name151306089bfed0" descr="imgtmp_22649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10.gif"/>
                    <pic:cNvPicPr/>
                  </pic:nvPicPr>
                  <pic:blipFill>
                    <a:blip r:embed="rId151306089bfe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pedig az az elemi húzás, amely a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18069891" name="name151306089c017f" descr="imgtmp_22649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11.gif"/>
                    <pic:cNvPicPr/>
                  </pic:nvPicPr>
                  <pic:blipFill>
                    <a:blip r:embed="rId151306089c0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-hez tartozó halmazból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91168482" name="name151306089c0434" descr="imgtmp_22649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12.gif"/>
                    <pic:cNvPicPr/>
                  </pic:nvPicPr>
                  <pic:blipFill>
                    <a:blip r:embed="rId151306089c03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-hez tartozót állítja elő. 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208800"/>
            <wp:docPr id="61200643" name="name151306089c06de" descr="imgtmp_22649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2649_hu_13.gif"/>
                    <pic:cNvPicPr/>
                  </pic:nvPicPr>
                  <pic:blipFill>
                    <a:blip r:embed="rId151306089c06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valószínűségeket mátrixban tárolva az eloszlás valószínűségei a mátrixok szorzataként áll elő. A mátrixok meghatározására mindösszesen az a feltétellel adódik, hogy az egymást követő húzások mátrixaiban a megelőző mátrix oszlopai és a rákövetkező húzáshoz tartozó mátrix sorai megegyező sorrend szerint legyenek megfeleltethetőek a húzásoknak. Ezen mátrixok a húzások által előálló sokaságok hálóba történő rendezésének leírásaként is felfoghatóak. Az elemi valószínűségeket a követési reláció jellemzéseként súlyként értelmezzük, ekkor egy elem akkor áll követési relációban egy másikkal, ha a relációhoz tartozó súly nullától különbözik, azaz ha létezik, olyan elemi húzás, ami a megelőző halmazból előállítja a kérdéses halmazt. Ebben a hálóban egy szinten állnak azok a halmazok, amelyekből azonos számú elemet választottunk ki. Az algoritmus ismertetésén kívül az eloszlás értékeinek előállításának más módjaival is összehasonlítjuk. Bemutatjuk az alkalmazási lehetőségeket és kapcsolódásokat más problémákhoz.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44889">
    <w:multiLevelType w:val="hybridMultilevel"/>
    <w:lvl w:ilvl="0" w:tplc="53412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44889">
    <w:abstractNumId w:val="83744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298973" Type="http://schemas.openxmlformats.org/officeDocument/2006/relationships/numbering" Target="numbering.xml"/><Relationship Id="rId151306089bd3ae" Type="http://schemas.openxmlformats.org/officeDocument/2006/relationships/image" Target="media/imgrId151306089bd3ae.gif"/><Relationship Id="rId151306089be6f5" Type="http://schemas.openxmlformats.org/officeDocument/2006/relationships/image" Target="media/imgrId151306089be6f5.gif"/><Relationship Id="rId151306089be9d2" Type="http://schemas.openxmlformats.org/officeDocument/2006/relationships/image" Target="media/imgrId151306089be9d2.gif"/><Relationship Id="rId151306089bec80" Type="http://schemas.openxmlformats.org/officeDocument/2006/relationships/image" Target="media/imgrId151306089bec80.gif"/><Relationship Id="rId151306089bef2c" Type="http://schemas.openxmlformats.org/officeDocument/2006/relationships/image" Target="media/imgrId151306089bef2c.gif"/><Relationship Id="rId151306089bf1e3" Type="http://schemas.openxmlformats.org/officeDocument/2006/relationships/image" Target="media/imgrId151306089bf1e3.gif"/><Relationship Id="rId151306089bf67e" Type="http://schemas.openxmlformats.org/officeDocument/2006/relationships/image" Target="media/imgrId151306089bf67e.gif"/><Relationship Id="rId151306089bf92c" Type="http://schemas.openxmlformats.org/officeDocument/2006/relationships/image" Target="media/imgrId151306089bf92c.gif"/><Relationship Id="rId151306089bfbe0" Type="http://schemas.openxmlformats.org/officeDocument/2006/relationships/image" Target="media/imgrId151306089bfbe0.gif"/><Relationship Id="rId151306089bfe92" Type="http://schemas.openxmlformats.org/officeDocument/2006/relationships/image" Target="media/imgrId151306089bfe92.gif"/><Relationship Id="rId151306089c0143" Type="http://schemas.openxmlformats.org/officeDocument/2006/relationships/image" Target="media/imgrId151306089c0143.gif"/><Relationship Id="rId151306089c03f8" Type="http://schemas.openxmlformats.org/officeDocument/2006/relationships/image" Target="media/imgrId151306089c03f8.gif"/><Relationship Id="rId151306089c06a2" Type="http://schemas.openxmlformats.org/officeDocument/2006/relationships/image" Target="media/imgrId151306089c06a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