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EUGÉN RJABCSENKÓ</w:t>
            </w:r>
          </w:p>
          <w:p w:rsidR="00C275A3" w:rsidRDefault="00A96AEC" w:rsidP="00C275A3">
            <w:pPr>
              <w:pStyle w:val="Hallgatokepzes"/>
            </w:pPr>
            <w:r>
              <w:t>Software Engineering</w:t>
            </w:r>
            <w:r>
              <w:br/>
            </w:r>
            <w:r w:rsidR="00E77B23">
              <w:t>BSc, 7.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ÁKOS SÜLYI</w:t>
            </w:r>
          </w:p>
          <w:p w:rsidR="00DB4822" w:rsidRDefault="00C275A3" w:rsidP="004D7940">
            <w:pPr>
              <w:pStyle w:val="Hallgatokepzes"/>
            </w:pPr>
            <w:r>
              <w:t>Software Engineering</w:t>
            </w:r>
            <w:r w:rsidR="00A96AEC">
              <w:br/>
              <w:t>BSc, 5. semester</w:t>
            </w:r>
          </w:p>
          <w:p w:rsidR="00DB4822" w:rsidRDefault="00DB4822" w:rsidP="004D7940">
            <w:pPr>
              <w:pStyle w:val="Hallgatointezmeny-kar"/>
            </w:pPr>
            <w:r>
              <w:t>University of Miskolc</w:t>
            </w:r>
          </w:p>
          <w:p w:rsidR="00C265CE" w:rsidRPr="009E5FF1" w:rsidRDefault="00DB4822" w:rsidP="004D7940">
            <w:pPr>
              <w:pStyle w:val="Hallgatointezmeny-kar"/>
              <w:rPr>
                <w:b/>
                <w:caps/>
              </w:rPr>
            </w:pPr>
            <w:r>
              <w:t>Faculty of Mechanical Engineering and Informatics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Sándor Fegyverneki</w:t>
            </w:r>
          </w:p>
          <w:p w:rsidR="00DB4822" w:rsidRDefault="00DB4822" w:rsidP="00E11062">
            <w:pPr>
              <w:pStyle w:val="Konzulensek"/>
            </w:pPr>
            <w:r w:rsidRPr="00DB4822">
              <w:t>associate professor, ME GÉK</w:t>
            </w:r>
          </w:p>
        </w:tc>
      </w:tr>
      <w:tr w:rsidR="00DB4822" w:rsidTr="00DB4822">
        <w:tc>
          <w:tcPr>
            <w:tcW w:w="9854" w:type="dxa"/>
          </w:tcPr>
          <w:p w:rsidR="00DB4822" w:rsidRPr="00DB4822" w:rsidRDefault="00DB4822" w:rsidP="004D7940">
            <w:pPr>
              <w:pStyle w:val="Konzulensek"/>
            </w:pPr>
            <w:r w:rsidRPr="00DB4822">
              <w:t>Dr. Zsolt Karácsony</w:t>
            </w:r>
          </w:p>
          <w:p w:rsidR="00DB4822" w:rsidRDefault="00DB4822" w:rsidP="00E11062">
            <w:pPr>
              <w:pStyle w:val="Konzulensek"/>
            </w:pPr>
            <w:r w:rsidRPr="00DB4822">
              <w:t>associate professor,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Calculating Probabilities of the Multivariate Hypergeometric Distribution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Calculating Probabilities of the Multivariate Hypergeometric Distribution</w:t>
      </w:r>
    </w:p>
    <w:p>
      <w:pPr>
        <w:widowControl w:val="on"/>
        <w:pBdr/>
        <w:spacing w:before="240" w:after="240" w:line="240" w:lineRule="auto"/>
        <w:ind w:left="0" w:right="0"/>
        <w:jc w:val="left"/>
      </w:pPr>
      <w:r>
        <w:rPr>
          <w:color w:val="000000"/>
          <w:sz w:val="24"/>
          <w:szCs w:val="24"/>
        </w:rPr>
        <w:t xml:space="preserve">The probabilities of the multivariate hypergeometric distribution describes events occurring according to the classical urn model where the base population formed by multiple categories and drawn without replacement from it. Hypergeometric distribution can be considered as a special case of this distribution, when the number of categories is two. For example let's take a quiz where the prize is split into amounts winnable turn by turn randomly, the amounts can be of the same size. The total of winning after several turns and the chance of it is determined by multivariate hypergeometric distribution. For the probabilities the classical combinatoric definition gives the following formula.</w:t>
      </w:r>
    </w:p>
    <w:p>
      <w:pPr>
        <w:widowControl w:val="on"/>
        <w:pBdr/>
        <w:spacing w:before="240" w:after="240" w:line="240" w:lineRule="auto"/>
        <w:ind w:left="0" w:right="0"/>
        <w:jc w:val="left"/>
      </w:pPr>
      <w:r>
        <w:rPr>
          <w:color w:val="000000"/>
          <w:position w:val="-3"/>
          <w:sz w:val="24"/>
          <w:szCs w:val="24"/>
        </w:rPr>
        <w:drawing>
          <wp:inline distT="0" distB="0" distL="0" distR="0">
            <wp:extent cx="1152000" cy="597600"/>
            <wp:docPr id="40225472" name="name15130608a107ec" descr="imgtmp_22649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2649_int_1.gif"/>
                    <pic:cNvPicPr/>
                  </pic:nvPicPr>
                  <pic:blipFill>
                    <a:blip r:embed="rId15130608a107aa" cstate="print"/>
                    <a:stretch>
                      <a:fillRect/>
                    </a:stretch>
                  </pic:blipFill>
                  <pic:spPr>
                    <a:xfrm>
                      <a:off x="0" y="0"/>
                      <a:ext cx="1152000" cy="597600"/>
                    </a:xfrm>
                    <a:prstGeom prst="rect">
                      <a:avLst/>
                    </a:prstGeom>
                    <a:ln w="0">
                      <a:noFill/>
                    </a:ln>
                  </pic:spPr>
                </pic:pic>
              </a:graphicData>
            </a:graphic>
          </wp:inline>
        </w:drawing>
      </w:r>
      <w:r>
        <w:rPr>
          <w:color w:val="000000"/>
          <w:sz w:val="24"/>
          <w:szCs w:val="24"/>
        </w:rPr>
        <w:t xml:space="preserve">, where  N size of the population</w:t>
      </w:r>
      <w:r>
        <w:rPr>
          <w:color w:val="000000"/>
          <w:sz w:val="24"/>
          <w:szCs w:val="24"/>
        </w:rPr>
        <w:br/>
        <w:t xml:space="preserve">K number of drawing</w:t>
      </w:r>
      <w:r>
        <w:rPr>
          <w:color w:val="000000"/>
          <w:sz w:val="24"/>
          <w:szCs w:val="24"/>
        </w:rPr>
        <w:br/>
        <w:t xml:space="preserve">ni number of elements in the i-th category</w:t>
      </w:r>
      <w:r>
        <w:rPr>
          <w:color w:val="000000"/>
          <w:sz w:val="24"/>
          <w:szCs w:val="24"/>
        </w:rPr>
        <w:br/>
        <w:t xml:space="preserve">ki number of elements drawn from the i-th category</w:t>
      </w:r>
      <w:r>
        <w:rPr>
          <w:color w:val="000000"/>
          <w:sz w:val="24"/>
          <w:szCs w:val="24"/>
        </w:rPr>
        <w:br/>
        <w:t xml:space="preserve">Ap event ki piece was drawn from i-th category</w:t>
      </w:r>
      <w:r>
        <w:rPr>
          <w:color w:val="000000"/>
          <w:sz w:val="24"/>
          <w:szCs w:val="24"/>
        </w:rPr>
        <w:br/>
        <w:t xml:space="preserve">P(Ap) the probability</w:t>
      </w:r>
    </w:p>
    <w:p>
      <w:pPr>
        <w:widowControl w:val="on"/>
        <w:pBdr/>
        <w:spacing w:before="240" w:after="240" w:line="240" w:lineRule="auto"/>
        <w:ind w:left="0" w:right="0"/>
        <w:jc w:val="left"/>
      </w:pPr>
      <w:r>
        <w:rPr>
          <w:color w:val="000000"/>
          <w:sz w:val="24"/>
          <w:szCs w:val="24"/>
        </w:rPr>
        <w:t xml:space="preserve">In order to calculate numerically the probabilities an an ordering of values ki is needed. We give such an order in which the index of an element can be determined from the element itself. Using this algorithm binomial coefficient can be calculated.</w:t>
      </w:r>
    </w:p>
    <w:p>
      <w:pPr>
        <w:widowControl w:val="on"/>
        <w:pBdr/>
        <w:spacing w:before="240" w:after="240" w:line="240" w:lineRule="auto"/>
        <w:ind w:left="0" w:right="0"/>
        <w:jc w:val="left"/>
      </w:pPr>
      <w:r>
        <w:rPr>
          <w:color w:val="000000"/>
          <w:sz w:val="24"/>
          <w:szCs w:val="24"/>
        </w:rPr>
        <w:t xml:space="preserve">This was allowed by using P(Ap)=sum_r P(Ap|Br)P(Br), the formula (or law) of total probability where Br is an event drawing K-1 elements. Writing P(Ap|Br) probabilities into matrix form the probabilities of the distribution can be given by the product of these matrices. Defining these matrices has one condition, filling the matrices of following drawing the previous matrix's columns and the next matrix's row has to be related to the elementary events in the same order. These matrices can be considered as a lattice of sets produced by the extractions. The succession relationship is characterized by probabilities of elementary drawing as weights, an event is the predecessor of another if the weight between them is not zero. I.e if there exists an elementary drawing producing the new set from the current one. This lattice is generated by number of elements the drawn.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29181">
    <w:multiLevelType w:val="hybridMultilevel"/>
    <w:lvl w:ilvl="0" w:tplc="785819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29181">
    <w:abstractNumId w:val="362291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3760461" Type="http://schemas.openxmlformats.org/officeDocument/2006/relationships/numbering" Target="numbering.xml"/><Relationship Id="rId15130608a107aa" Type="http://schemas.openxmlformats.org/officeDocument/2006/relationships/image" Target="media/imgrId15130608a107aa.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