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ÁKOS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Trombitásné Ránky Márta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Reinhardt Ákos</w:t>
            </w:r>
          </w:p>
          <w:p w:rsidR="00DB4822" w:rsidRDefault="00DB4822" w:rsidP="00E11062">
            <w:pPr>
              <w:pStyle w:val="Konzulensek"/>
            </w:pPr>
            <w:r w:rsidRPr="00DB4822">
              <w:t>külső konzulens, Emberi Erőforrások Minisztériuma, Sportért Felelős Államtitkárság,  Emberi Erőforrások Minisztériuma, Sportért Felelős Államtitkárság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”Doppingolás” kontra „doppingvétség”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pozitív vér és vizeletmintát szolgáltató sportolók nevének nyilvánosságra hozatala során felmerülő sérelmekre irányul. Ugyanis a doppingellenőrzésnek ebben a szakaszában a Nemzetközi Doppingellenes Ügynökség (WADA) és a hazai jogalkotók által kidolgozott szabályokat a gyakorlatban nem tartják be.</w:t>
      </w:r>
      <w:r>
        <w:rPr>
          <w:color w:val="000000"/>
          <w:sz w:val="24"/>
          <w:szCs w:val="24"/>
        </w:rPr>
        <w:br/>
        <w:t xml:space="preserve">A hatályos szabályok értelmében a sportoló „A” jelű mintájának pozitív vizsgálati eredménye, valamint a doppingvétséget megalapozó egyéb magatartás esetén csak az érintett sportágat lehetne megjelölni azzal a megjegyzéssel, hogy ez önmagában véve még nem jelent doppingvétséget. Ezzel szemben a gyakorlatban többször is találunk arra példát, hogy már az eljárásnak ebben a szakaszában valamilyen módon fény derül a sportoló nevére is. Az előírt szabályok betartása pedig azért is lenne lényeges, mert a sportoló ártatlanságának vélelmét és személyiségi jogainak védelmét szolgálják.</w:t>
      </w:r>
      <w:r>
        <w:rPr>
          <w:color w:val="000000"/>
          <w:sz w:val="24"/>
          <w:szCs w:val="24"/>
        </w:rPr>
        <w:br/>
        <w:t xml:space="preserve">A probléma ismertetése során a „doppingolás” és „doppingvétség” fogalmának összehasonlításával megkísérlem feltárni a kialakult helyzet valószínűsíthető okát, valamint a szabálysértő gyakorlat következményeinek figyelembevételével feltárni a sportoló személyéhez köthető vagyoni károkat. Ezeknek az érzékeltetéséhez végigvezetem a Londoni Nyári Olimpiai Játékok előtt pozitív mintát szolgáltató Fazekas Róbert dopping esetét, valamint egyéb, a téma szempontjából releváns gyakorlati példákat hozok fel.</w:t>
      </w:r>
      <w:r>
        <w:rPr>
          <w:color w:val="000000"/>
          <w:sz w:val="24"/>
          <w:szCs w:val="24"/>
        </w:rPr>
        <w:br/>
        <w:t xml:space="preserve">Végül két megoldási javaslatot is teszek a sportolók további sérelmeinek elkerülése érdekében, mert lehetséges, hogy az érintett sportolók az elért eredményeik következtében magasabb társadalmi megbecsülést élveznek, és ez által fokozott felelősséggel tartoznak – a tiszta játék szellemében - versenyzői magatartásukért, azonban ez nem lehet elegendő indok arra, hogy a doppingellenőrzés során aránytalanul kiszolgáltatottá váljanak.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27289">
    <w:multiLevelType w:val="hybridMultilevel"/>
    <w:lvl w:ilvl="0" w:tplc="19729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27289">
    <w:abstractNumId w:val="23727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126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