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PÉTER</w:t>
            </w:r>
          </w:p>
          <w:p w:rsidR="00C275A3" w:rsidRDefault="00A96AEC" w:rsidP="00C275A3">
            <w:pPr>
              <w:pStyle w:val="Hallgatokepzes"/>
            </w:pPr>
            <w:r>
              <w:t>Sport Manager</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Ránky</w:t>
            </w:r>
          </w:p>
          <w:p w:rsidR="00DB4822" w:rsidRDefault="00DB4822" w:rsidP="00E11062">
            <w:pPr>
              <w:pStyle w:val="Konzulensek"/>
            </w:pPr>
            <w:r w:rsidRPr="00DB4822">
              <w:t>professor’s assistant, ELTE PPK</w:t>
            </w:r>
          </w:p>
        </w:tc>
      </w:tr>
      <w:tr w:rsidR="00DB4822" w:rsidTr="00DB4822">
        <w:tc>
          <w:tcPr>
            <w:tcW w:w="9854" w:type="dxa"/>
          </w:tcPr>
          <w:p w:rsidR="00DB4822" w:rsidRPr="00DB4822" w:rsidRDefault="00DB4822" w:rsidP="004D7940">
            <w:pPr>
              <w:pStyle w:val="Konzulensek"/>
            </w:pPr>
            <w:r w:rsidRPr="00DB4822">
              <w:t>Ákos Reinhardt</w:t>
            </w:r>
          </w:p>
          <w:p w:rsidR="00DB4822" w:rsidRDefault="00DB4822" w:rsidP="00E11062">
            <w:pPr>
              <w:pStyle w:val="Konzulensek"/>
            </w:pPr>
            <w:r w:rsidRPr="00DB4822">
              <w:t>consultant,  Ministry of Human Resources, Secretary of Sport of State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"Dope" against "Anti-doping rule violation"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on blood and urine samples positive athletes provider grievances arising from publication of the name intended. Because the doping control at this stage of the World Anti-Doping Agency (WADA) and the rules drawn up by the national legislature, in practice, are not observed.</w:t>
      </w:r>
      <w:r>
        <w:rPr>
          <w:color w:val="000000"/>
          <w:sz w:val="24"/>
          <w:szCs w:val="24"/>
        </w:rPr>
        <w:br/>
        <w:t xml:space="preserve">Under the current rules, the athlete's "A" sample test result is positive and the other is based doping behavior in sport is concerned only be marked with the remark that it is not in itself constitute anti-doping rule. In contrast to the practice several times to find an example that has been in some way at this stage revealed the name of the athlete as well. The prescribed rules and so it would be important because the presumption of innocence of the athlete's privacy and protection.</w:t>
      </w:r>
      <w:r>
        <w:rPr>
          <w:color w:val="000000"/>
          <w:sz w:val="24"/>
          <w:szCs w:val="24"/>
        </w:rPr>
        <w:br/>
        <w:t xml:space="preserve">The issue of the "doping" and "doping" the concept of comparing the situation I attempt to explore the probable cause and the offending practices to explore the consequences of the individual athlete may be subject to material damage. These végigvezetem to reflect the Summer Olympic Games in London in front of a positive doping sample provider in the case of Róbert Fazekas, and other topics relevant to the practical examples of the Party.</w:t>
      </w:r>
      <w:r>
        <w:rPr>
          <w:color w:val="000000"/>
          <w:sz w:val="24"/>
          <w:szCs w:val="24"/>
        </w:rPr>
        <w:br/>
        <w:t xml:space="preserve">Finally, the two solutions is proposed by athletes further grievances of avoid, because it is possible that the athletes of the results achieved as a result of higher social esteem they enjoy, and it's increased responsibility for - a clean game in the spirit of - racing magatartásukért, but this should not be sufficient grounds for that the anti-doping tests become disproportionately vulnerable.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66875">
    <w:multiLevelType w:val="hybridMultilevel"/>
    <w:lvl w:ilvl="0" w:tplc="96676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66875">
    <w:abstractNumId w:val="497668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748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