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ÓNODI</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Csörgő</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 between forestation and the woodpecker community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research was carried out in Hungary, near Budapest (Ócsa, 47o 29’ N 19o 20’) in a post-glacial relic bog. After peat extraction ceased, this area became the part of Ócsa Landscape Protection Area in 1978 and the secondary-succession of arboreal vegetation began. The study area was approximately 30 hectares, on which the tree coverage reached 20 hectares recently. This habitat is still very fragmented and so not optimal for most woodpecker species. Eight woodpecker species (of the ten European species) have already occurred in this habitat. The studied woodpecker species were: Great-spotted (Dendrocopos major), Lesser-spotted (D. minor), Syrian (D. syriacus), Middle-spotted (D. medius), Green (Picus viridis) and Black (Dryocopus martius). I used the data of mist-netted woodpeckers caught in the Ócsa Bird Ringing Station between 1983-2010. There are 120 Japanese-type mist nets in this area, which are placed in different standard blocks, according to the various vegetation types.</w:t>
      </w:r>
      <w:r>
        <w:rPr>
          <w:color w:val="000000"/>
          <w:sz w:val="24"/>
          <w:szCs w:val="24"/>
        </w:rPr>
        <w:br/>
        <w:t xml:space="preserve">Over the study period all studied species showed an increasing occurrence trend. The number of Great-spotted woodpeckers increased the most, with Lesser-spotted woodpecker the second. The occurence of the other species is only occasional. The peaks of the numbers of each species were mainly from July to October, when full-fledged young birds made dispersal movements into the area. Most of the ringed birds had no or very few recoveries, though in a few cases some birds were recovered more than five times.</w:t>
      </w:r>
      <w:r>
        <w:rPr>
          <w:color w:val="000000"/>
          <w:sz w:val="24"/>
          <w:szCs w:val="24"/>
        </w:rPr>
        <w:br/>
        <w:t xml:space="preserve">The tendency of the most abundant species was compared with the tendencies of the other species, to see if they correlated. We used the Spearman’s correlation test to analyze if the numbers of specimens of each species might change in unison. The results of the Spearman’s correlation tests showed significance except in the case of the comparison with the tendencies of Great-spotted woodpecker and SW. The analysis of tendencies with pairs of Great-spotted and Lesser-spotted, and Great-spotted and Black woodpecker resulted in extreme differences.</w:t>
      </w:r>
      <w:r>
        <w:rPr>
          <w:color w:val="000000"/>
          <w:sz w:val="24"/>
          <w:szCs w:val="24"/>
        </w:rPr>
        <w:br/>
        <w:t xml:space="preserve">There was a connection between the numbers of Great-spotted woodpecker and numbers of all other species, because the increasing tendency of the arboreal vegetation was and is beneficial to almost every studied species, though their ecological needs differ. Spearman’s correlation tests showed the strongest correspondence between Great-spotted woodpecker and Lesser-spotted woodpecker, and between Great-spotted woodpecker and Black woodpecker.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97613">
    <w:multiLevelType w:val="hybridMultilevel"/>
    <w:lvl w:ilvl="0" w:tplc="13526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97613">
    <w:abstractNumId w:val="21297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844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