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BORSOS</w:t>
            </w:r>
          </w:p>
          <w:p w:rsidR="00C275A3" w:rsidRDefault="00A96AEC" w:rsidP="00C275A3">
            <w:pPr>
              <w:pStyle w:val="Hallgatokepzes"/>
            </w:pPr>
            <w:r>
              <w:t>Biologist</w:t>
            </w:r>
            <w:r>
              <w:br/>
            </w:r>
            <w:r w:rsidR="00E77B23">
              <w:t>MSc, 1.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Kikue Tachibana-Konwalski</w:t>
            </w:r>
          </w:p>
          <w:p w:rsidR="00DB4822" w:rsidRDefault="00DB4822" w:rsidP="00E11062">
            <w:pPr>
              <w:pStyle w:val="Konzulensek"/>
            </w:pPr>
            <w:r w:rsidRPr="00DB4822">
              <w:t>  senior research fellow  ,  Institute of Molecular Biotechnology of the Austrian Academy of Sciences (IMBA)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Characterization of a novel Rec8 mutant: an accelerated reproductive aging model?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Faithful chromosome segregation during meiosis is an essential physiological process, germ cells that lack this ability often become aneuploid. In case such cells participate in fertilization, these embryos mostly perishes in utero or give rise toaneuploid offspring. Iin humans, the most well-known example for this is Down syndrome, which is known to occur more likely to aged mothers. Recent studies propose that one factor responsible for this effect can be the age dependent weakening and exhaustion of chromosome cohesion that results in inappropriate segregation. Rec8 is a protein component of the cohesin ring, responsible for holding homologous chromosomes together.</w:t>
      </w:r>
    </w:p>
    <w:p>
      <w:pPr>
        <w:pBdr/>
        <w:spacing w:before="240" w:after="240" w:line="240" w:lineRule="auto"/>
        <w:ind w:left="0" w:right="0"/>
        <w:jc w:val="left"/>
      </w:pPr>
      <w:r>
        <w:rPr>
          <w:color w:val="000000"/>
          <w:sz w:val="24"/>
          <w:szCs w:val="24"/>
        </w:rPr>
        <w:t xml:space="preserve">During my work, I was investigating the cause behind the infertility of a novel, artificially created Rec8 mutant mouse strain. The homozygote mutant females of this strain cannot give rise to offspring but they harbor mature oocytes. Therefore, this Rec8 mutation seems to dissect Rec8 function. Using oocyte chromosome staining methods, I studied the role of the mutant protein in chromosome cohesion near centromeres and on the arms. Furthermore, I did histological whole ovary reconstructions, which have shown that there is complete oocyte pool depletion at an unusually early age, by 7 months in these mice. These data suggests that the mutation of only one domain of the Rec8 protein could create a potentially good model for the accelerated aging of the female reproductive system in mice.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772669">
    <w:multiLevelType w:val="hybridMultilevel"/>
    <w:lvl w:ilvl="0" w:tplc="743985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772669">
    <w:abstractNumId w:val="457726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35773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