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ECSÉDI</w:t>
            </w:r>
          </w:p>
          <w:p w:rsidR="00C275A3" w:rsidRDefault="00A96AEC" w:rsidP="00C275A3">
            <w:pPr>
              <w:pStyle w:val="Hallgatokepzes"/>
            </w:pPr>
            <w:r>
              <w:t>MSc in Biology</w:t>
            </w:r>
            <w:r>
              <w:br/>
            </w:r>
            <w:r w:rsidR="00E77B23">
              <w:t>MSc, 9.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Nyitray</w:t>
            </w:r>
          </w:p>
          <w:p w:rsidR="00DB4822" w:rsidRDefault="00DB4822" w:rsidP="00E11062">
            <w:pPr>
              <w:pStyle w:val="Konzulensek"/>
            </w:pPr>
            <w:r w:rsidRPr="00DB4822">
              <w:t>Head of Department, ELTE TTK</w:t>
            </w:r>
          </w:p>
        </w:tc>
      </w:tr>
      <w:tr w:rsidR="00DB4822" w:rsidTr="00DB4822">
        <w:tc>
          <w:tcPr>
            <w:tcW w:w="9854" w:type="dxa"/>
          </w:tcPr>
          <w:p w:rsidR="00DB4822" w:rsidRPr="00DB4822" w:rsidRDefault="00DB4822" w:rsidP="004D7940">
            <w:pPr>
              <w:pStyle w:val="Konzulensek"/>
            </w:pPr>
            <w:r w:rsidRPr="00DB4822">
              <w:t>Bence Kiss</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structural observation of the interaction between the S100A4/metastasin and the p53</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Increased concentration of S100A4/metastasin is often observed in agressive and metastatic tumors causing higher death rate. Its role in regulation, which takes place through Ca</w:t>
      </w:r>
      <w:r>
        <w:rPr>
          <w:color w:val="000000"/>
          <w:position w:val="4"/>
          <w:sz w:val="21"/>
          <w:szCs w:val="21"/>
          <w:vertAlign w:val="superscript"/>
        </w:rPr>
        <w:t xml:space="preserve">2+</w:t>
      </w:r>
      <w:r>
        <w:rPr>
          <w:color w:val="000000"/>
          <w:sz w:val="24"/>
          <w:szCs w:val="24"/>
        </w:rPr>
        <w:t xml:space="preserve"> dependent interactions with a number of known proteins, is not yet fully understood. It is known that the interaction between the S100A4 and the N-terminal transactivational domain (TAD) of the p53 tumor supressor protein causes modifications in its functions. Our goal is to structurally explore the interaction to better understand the regulatory mechanisms that involve these two proteins. An atomic resolution structure could clarify the often contradictory data and observations. With molecular cloning and heterologue expression I produced four overlapping TAD fragments to determine the residues exclusively involved in S100A4 binding. It turned out that 11 amino acids at the N-terminus do not participate in the interaction. Moreover, we found that the presence of TAD2 subdomain is essential for the interaction. Similar affinities to former results were observed using fluorescence polarization (FP) (K</w:t>
      </w:r>
      <w:r>
        <w:rPr>
          <w:color w:val="000000"/>
          <w:position w:val="-4"/>
          <w:sz w:val="21"/>
          <w:szCs w:val="21"/>
          <w:vertAlign w:val="subscript"/>
        </w:rPr>
        <w:t xml:space="preserve">d</w:t>
      </w:r>
      <w:r>
        <w:rPr>
          <w:color w:val="000000"/>
          <w:sz w:val="24"/>
          <w:szCs w:val="24"/>
        </w:rPr>
        <w:t xml:space="preserve"> = 4 ± 0,6µM) and isothermal titration calorimetry (ITC) (K</w:t>
      </w:r>
      <w:r>
        <w:rPr>
          <w:color w:val="000000"/>
          <w:position w:val="-4"/>
          <w:sz w:val="21"/>
          <w:szCs w:val="21"/>
          <w:vertAlign w:val="subscript"/>
        </w:rPr>
        <w:t xml:space="preserve">d</w:t>
      </w:r>
      <w:r>
        <w:rPr>
          <w:color w:val="000000"/>
          <w:sz w:val="24"/>
          <w:szCs w:val="24"/>
        </w:rPr>
        <w:t xml:space="preserve"> = 2,1 ± 0,6µM) techniques. Aditionally, I determined the stoichiometry and the thermodinamic parameters of the interaction. According to circular dichroism (CD) spectroscopic measurements a 30% increase in the α-helix content was observed in the secondary structure of the TAD, when it was bound to the S100A4 protein. Furthermore, competitive FP measurements showed that the previously studied non-muscular myosin IIA (NMIIA) and the TAD bind to the same surface of the S100A4. Based on these results we modelled the 3D structure of the S100A4 – TAD complex, where the two short helices bind in each S100A4 canonical binding pockets forming an asymmetric protein complex, similar to the S100A4 – NMIIA structure. The results of my work facilitate the protein crystallization experiments to determine the atomic resolution structure of the S100A4 – TAD complex.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93984">
    <w:multiLevelType w:val="hybridMultilevel"/>
    <w:lvl w:ilvl="0" w:tplc="49943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93984">
    <w:abstractNumId w:val="148939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678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