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HORVÁTH</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 Vági</w:t>
            </w:r>
          </w:p>
          <w:p w:rsidR="00DB4822" w:rsidRDefault="00DB4822" w:rsidP="00E11062">
            <w:pPr>
              <w:pStyle w:val="Konzulensek"/>
            </w:pPr>
            <w:r w:rsidRPr="00DB4822">
              <w:t>professor’s assistant,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Optimization of fluorescence in situ hybridization method for examination of plant fungal interactions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Fluorescence in situ hybridization (FISH) methods were optimized to identify and analyze the symbiotic partners in in vitro inoculated and field root samples. Therefore two common root colonizing fungi’s ribosomal RNA was fluorescently labeled with single-stranded DNA oligonucleotide probes. Thus, the signal was detected in the cytoplasm of the target organism instead of its scattered nuclei. The method's applicability was tested to indicate fungal structures inside root sections of up to 120 micrometer thickness. The relatively thick sections were analyzed by confocal laser scanning microscopy to reconstruct three-dimensional structures.</w:t>
      </w:r>
    </w:p>
    <w:p>
      <w:pPr>
        <w:pBdr/>
        <w:spacing w:before="240" w:after="240" w:line="240" w:lineRule="auto"/>
        <w:ind w:left="0" w:right="0"/>
        <w:jc w:val="left"/>
      </w:pPr>
      <w:r>
        <w:rPr>
          <w:color w:val="000000"/>
          <w:sz w:val="24"/>
          <w:szCs w:val="24"/>
        </w:rPr>
        <w:t xml:space="preserve">In order to ensure sufficient specificity, I started to optimize the critical parameters of two RNA-FISH protocols. For this purpose field samples turned out to be too inconsistent. Therefore I used sterilely and purely maintained mycelium in liquid cultures to find the optimum of parameters. The applicability of the optimized methods to the field samples was tested.</w:t>
      </w:r>
    </w:p>
    <w:p>
      <w:pPr>
        <w:pBdr/>
        <w:spacing w:before="240" w:after="240" w:line="240" w:lineRule="auto"/>
        <w:ind w:left="0" w:right="0"/>
        <w:jc w:val="left"/>
      </w:pPr>
      <w:r>
        <w:rPr>
          <w:color w:val="000000"/>
          <w:sz w:val="24"/>
          <w:szCs w:val="24"/>
        </w:rPr>
        <w:t xml:space="preserve">As a result of my work I optimized an RNA FISH protocol, which allows simultaneous, specific identification of the fungal participants of plant-fungus interactions.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869576">
    <w:multiLevelType w:val="hybridMultilevel"/>
    <w:lvl w:ilvl="0" w:tplc="750532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869576">
    <w:abstractNumId w:val="368695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84999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