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MAJOR</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Fodor Dr.</w:t>
            </w:r>
          </w:p>
          <w:p w:rsidR="00DB4822" w:rsidRDefault="00DB4822" w:rsidP="00E11062">
            <w:pPr>
              <w:pStyle w:val="Konzulensek"/>
            </w:pPr>
            <w:r w:rsidRPr="00DB4822">
              <w:t>biologist researcher,  Gedeon Richter Plc, Pharmacology and Drug Safety Research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research on Glycine receptors' s activity during pharmacological effects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Strychnine-sensitive glycine receptors (GlyRs) are chloride permeable ligand-gated ion-channels, widely expressed in the nervous system, most abundantly in the spinal cord where glycine is the main inhibitory neurotransmitter. Five subunits (α1–4 and β) have been cloned from the mammalian nervous system to date. GlyRs are homopentamers of α subunits or heteropentamers of 2 α and 3 β subunits. Agents that selectively potentiate different GlyR isoforms may be useful as therapeutic tools for nervous system disorders such as pain or spasticity; however the pharmacology of GlyRs is still poorly studied.</w:t>
      </w:r>
    </w:p>
    <w:p>
      <w:pPr>
        <w:pBdr/>
        <w:spacing w:before="240" w:after="240" w:line="240" w:lineRule="auto"/>
        <w:ind w:left="0" w:right="0"/>
        <w:jc w:val="left"/>
      </w:pPr>
      <w:r>
        <w:rPr>
          <w:color w:val="000000"/>
          <w:sz w:val="24"/>
          <w:szCs w:val="24"/>
        </w:rPr>
        <w:t xml:space="preserve">Whole-cell patch clamp electrophysiology was used to examine the pharmacological sensitivity of the different GlyRs. The function of human recombinant α1β, α3 and α3β GlyRs (expressed in HEK cell lines) were tested by agonist (glycine) positive (zinc-chloride, octanol, chlor-propofol) and negative (stychnine, picrotoxinin) modulators.</w:t>
      </w:r>
    </w:p>
    <w:p>
      <w:pPr>
        <w:pBdr/>
        <w:spacing w:before="240" w:after="240" w:line="240" w:lineRule="auto"/>
        <w:ind w:left="0" w:right="0"/>
        <w:jc w:val="left"/>
      </w:pPr>
      <w:r>
        <w:rPr>
          <w:color w:val="000000"/>
          <w:sz w:val="24"/>
          <w:szCs w:val="24"/>
        </w:rPr>
        <w:t xml:space="preserve">The endogenous agonist glycine activated the receptors with slightly different potencies among various GlyR subtypes. The competitive agonist, GlyR-selective strychnine showed nanomolar inhibition at all subtypes tested. Picrotoxinin subtype specifically blocked the glycine-evoked current; it has significantly higher potency towards homomeric GlyRs. These results are very similar to the literature data. It was demonstrated for the first time, that both octanol and Cl-propofol are positive modulators of the α1β and α3β GlyRs subtypes and enhance the function of these receptors with similar efficacy. It is known that zinc is a positive GlyR modulator at lower (≈1 μM) concentrations, while it is an inhibitor at higher (&gt;10 μM) concentrations. According to the experiments the effect of Zn2+ shows apparent subtype specificity at the tested GlyRs.</w:t>
      </w:r>
    </w:p>
    <w:p>
      <w:pPr>
        <w:pBdr/>
        <w:spacing w:before="240" w:after="240" w:line="240" w:lineRule="auto"/>
        <w:ind w:left="0" w:right="0"/>
        <w:jc w:val="left"/>
      </w:pPr>
      <w:r>
        <w:rPr>
          <w:color w:val="000000"/>
          <w:sz w:val="24"/>
          <w:szCs w:val="24"/>
        </w:rPr>
        <w:t xml:space="preserve">These results prove that the interaction of drug molecules and ion channel receptors can be feasibly studied in this experimental system. The research on the subtype specificity of agonists and antagonists could be particularly important in exploring the pharmacology of GlyRs, and could help to develop novel therapies for several central nervous system disorders.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99722">
    <w:multiLevelType w:val="hybridMultilevel"/>
    <w:lvl w:ilvl="0" w:tplc="80377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99722">
    <w:abstractNumId w:val="64699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8453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