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MARTINA MÁTÉ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Mihály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Harami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RecQ helikáz doménjeinek szerepe a DNS-szerkezetek átalakításában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helikázok a DNS szálainak szétválasztására specializálódott motorfehérjék. A RecQ helikázok nélkülözhetetlenek a genomintegritás fenntartásában. A RecQ helikázokat egy központi motorrégió és további, a funkciót segítő járulékos domének építik fel. Utóbbiak közül kutatásom az E. coli RecQ helikáz szárnyas hélix (winged helix, WH) és HRDC doménjeinek funkciójára fókuszál. A vad típusból kiindulva géntechnológiai módszerekkel két mutáns fehérjét állítottunk elő: a RecQ</w:t>
      </w:r>
      <w:r>
        <w:rPr>
          <w:color w:val="000000"/>
          <w:position w:val="4"/>
          <w:sz w:val="21"/>
          <w:szCs w:val="21"/>
          <w:vertAlign w:val="superscript"/>
        </w:rPr>
        <w:t xml:space="preserve">523</w:t>
      </w:r>
      <w:r>
        <w:rPr>
          <w:color w:val="000000"/>
          <w:sz w:val="24"/>
          <w:szCs w:val="24"/>
        </w:rPr>
        <w:t xml:space="preserve"> fehérjéből hiányzik a HRDC domén, a RecQ</w:t>
      </w:r>
      <w:r>
        <w:rPr>
          <w:color w:val="000000"/>
          <w:position w:val="4"/>
          <w:sz w:val="21"/>
          <w:szCs w:val="21"/>
          <w:vertAlign w:val="superscript"/>
        </w:rPr>
        <w:t xml:space="preserve">414</w:t>
      </w:r>
      <w:r>
        <w:rPr>
          <w:color w:val="000000"/>
          <w:sz w:val="24"/>
          <w:szCs w:val="24"/>
        </w:rPr>
        <w:t xml:space="preserve"> fehérjéből pedig a HRDC és WH domén is hiányzik. E fehérjék működését jellemző legfontosabb kinetikai paramétereket vizsgálom fotometriás és biokémiai mérőmódszerek segítségével. Vizsgáltam a fehérjék haladását különböző hosszúságú és koncentrációjú egyszálú DNS szubsztrátokon. Többek között azt tapasztaltam, hogy a domén(ek) hiánya a RecQ</w:t>
      </w:r>
      <w:r>
        <w:rPr>
          <w:color w:val="000000"/>
          <w:position w:val="4"/>
          <w:sz w:val="21"/>
          <w:szCs w:val="21"/>
          <w:vertAlign w:val="superscript"/>
        </w:rPr>
        <w:t xml:space="preserve">523</w:t>
      </w:r>
      <w:r>
        <w:rPr>
          <w:color w:val="000000"/>
          <w:sz w:val="24"/>
          <w:szCs w:val="24"/>
        </w:rPr>
        <w:t xml:space="preserve"> esetében növelte a sebességet és a processzivitást, a RecQ</w:t>
      </w:r>
      <w:r>
        <w:rPr>
          <w:color w:val="000000"/>
          <w:position w:val="4"/>
          <w:sz w:val="21"/>
          <w:szCs w:val="21"/>
          <w:vertAlign w:val="superscript"/>
        </w:rPr>
        <w:t xml:space="preserve">414</w:t>
      </w:r>
      <w:r>
        <w:rPr>
          <w:color w:val="000000"/>
          <w:sz w:val="24"/>
          <w:szCs w:val="24"/>
        </w:rPr>
        <w:t xml:space="preserve"> esetében viszont nagymértékben csökkentette a DNS-hez való affinitást. Vizsgáltam továbbá komplexebb, két illetve három szálból álló DNS szubsztrátokon a szálszétválasztás képességét és időbeni lefutását is. Megfigyeltem, hogy a RecQ</w:t>
      </w:r>
      <w:r>
        <w:rPr>
          <w:color w:val="000000"/>
          <w:position w:val="4"/>
          <w:sz w:val="21"/>
          <w:szCs w:val="21"/>
          <w:vertAlign w:val="superscript"/>
        </w:rPr>
        <w:t xml:space="preserve">523</w:t>
      </w:r>
      <w:r>
        <w:rPr>
          <w:color w:val="000000"/>
          <w:sz w:val="24"/>
          <w:szCs w:val="24"/>
        </w:rPr>
        <w:t xml:space="preserve"> alig veszített szálszétválasztási képességéből, ellenben komplexebb szubsztrátok esetében csökkent szálszétválasztási aktivitást mutatott. A RecQ</w:t>
      </w:r>
      <w:r>
        <w:rPr>
          <w:color w:val="000000"/>
          <w:position w:val="4"/>
          <w:sz w:val="21"/>
          <w:szCs w:val="21"/>
          <w:vertAlign w:val="superscript"/>
        </w:rPr>
        <w:t xml:space="preserve">414</w:t>
      </w:r>
      <w:r>
        <w:rPr>
          <w:color w:val="000000"/>
          <w:sz w:val="24"/>
          <w:szCs w:val="24"/>
        </w:rPr>
        <w:t xml:space="preserve"> szálszétválasztási képessége minden szubsztrát esetében drasztikusan csökkent. Ezekből az eredményekből arra következtetek, hogy a WH domén a DNS felismerésében és a szálszétválasztásban alapvető fontosságú, míg a HRDC domén a komplexebb DNS szubsztrátok azonosításában tölt be fontos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47621">
    <w:multiLevelType w:val="hybridMultilevel"/>
    <w:lvl w:ilvl="0" w:tplc="24674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47621">
    <w:abstractNumId w:val="46547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575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