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 ZSÓFIA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izoflurán anesztézia hatása a retina és a vizuális kéreg közti csatoltságra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retina és az agykéreg között az oszcillációs potenciálok (OP) funkcionális csatoltságot hoznak létre, hasonlóan a kérgi gamma oszcillációs csatoltsághoz. A narkózis egyik lényeges jellemzője a vizuális információfeldolgozás elemeinek szétcsatolása, ami a percepció megszűnéséhez vezet.</w:t>
      </w:r>
      <w:r>
        <w:rPr>
          <w:color w:val="000000"/>
          <w:sz w:val="24"/>
          <w:szCs w:val="24"/>
        </w:rPr>
        <w:br/>
        <w:t xml:space="preserve">Krónikus kísérleteinket felnőtt Sprague-Dawley patkányokon végeztük. Munkánk során arra kerestük a választ, hogy 0,25 Hz-es vizuális ingert alkalmazva, az izoflurán hatására létrejött felszínes- (0,6%) és mély narkózis (1,5%) milyen hatással van a retinális és a kérgi OP-k alakulására. Arra az eredményre jutottunk, hogy a narkózis mélysége nem csak befolyásolja az oszcillációs potenciálok egyes tulajdonságait (amplitúdó, latencia, korreláció), hanem azok pontosan követik a narkózis mélységét, tehát az összecsatoltság „mértékének” tekinthetők. Annak igazolására, hogy nem a retinális OP-k terjedtek át passzívan a cortexre, nátriumcsatorna-blokkoló tetrodotoxint (TTX) adtunk a primer látókéreg felszínére. A TTX megszüntette a kérgi oszcillációs potenciálokat a retina változatlan oszcillációs aktivitása mellett.</w:t>
      </w:r>
      <w:r>
        <w:rPr>
          <w:color w:val="000000"/>
          <w:sz w:val="24"/>
          <w:szCs w:val="24"/>
        </w:rPr>
        <w:br/>
        <w:t xml:space="preserve">Eredményeink felvetik annak a lehetőségét, hogy az oszcillációs potenciálok mérése felhasználható lesz a narkózis ellenőrzésére a humán klinikumban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64914">
    <w:multiLevelType w:val="hybridMultilevel"/>
    <w:lvl w:ilvl="0" w:tplc="68228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64914">
    <w:abstractNumId w:val="84964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054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