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ALBERT</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Juhasz</w:t>
            </w:r>
          </w:p>
          <w:p w:rsidR="00DB4822" w:rsidRDefault="00DB4822" w:rsidP="00E11062">
            <w:pPr>
              <w:pStyle w:val="Konzulensek"/>
            </w:pPr>
            <w:r w:rsidRPr="00DB4822">
              <w:t>senior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isoflurane anaesthesia on the coupling between the retina and primary visual cortex in rats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Coupling of distant brain areas in the CNS can be performed by time-locking gamma oscillations. In the visual system such kind of timing has been found between the retina and the primary visual cortex (V1). There are already two separately investigated oscillatory responses to flash in the visual system: the retinal oscillatory potentials (OPs) and the visual evoked potential OPs. The coupling between the retina and the cortex changes during anaesthesia, leading to the loss of perception.</w:t>
      </w:r>
      <w:r>
        <w:rPr>
          <w:color w:val="000000"/>
          <w:sz w:val="24"/>
          <w:szCs w:val="24"/>
        </w:rPr>
        <w:br/>
        <w:t xml:space="preserve">The aim of the present study is to collect convincing data about how the low- (0.6%) and high-dose (1.5%) isoflurane anaesthesia modifies the retinal and cortical oscillatory potentials. We recorded the OPs from two structures of the visual system, the retina and the V1 of freely moving and anaesthetized SPRD rats. Using 0.6% and 1.5% isoflurane, OPs (amplitude, latency, correlation) changed dose dependently. Introducing tetrodotoxin (TTX) on V1 surface demonstrated that retinal OPs do not passively spread to the cortex.</w:t>
      </w:r>
      <w:r>
        <w:rPr>
          <w:color w:val="000000"/>
          <w:sz w:val="24"/>
          <w:szCs w:val="24"/>
        </w:rPr>
        <w:br/>
        <w:t xml:space="preserve">Our results suggest that OPs follow the depth of the narcosis indicating changes in the level of coupling. Thus measuring oscillatory potentials could provide an effective method for monitoring narcosis progress in clinical practice by tracking changes in visual data processing.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99085">
    <w:multiLevelType w:val="hybridMultilevel"/>
    <w:lvl w:ilvl="0" w:tplc="24047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99085">
    <w:abstractNumId w:val="126990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764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