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SCHLINGLOFF</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Gulyás</w:t>
            </w:r>
          </w:p>
          <w:p w:rsidR="00DB4822" w:rsidRDefault="00DB4822" w:rsidP="00E11062">
            <w:pPr>
              <w:pStyle w:val="Konzulensek"/>
            </w:pPr>
            <w:r w:rsidRPr="00DB4822">
              <w:t>research advisor,  Institute of Experimental Medicine of the Hungarian Academy of Sciences
Laboratory of Cerebral Cortex Research</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cellular and network mechanisms underlying hippocampal sharp wave-ripple oscillations.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Sharp wave-ripples (SWRs) occur in the hippocampus during awake immobility and NREM sleep, and have role in memory consolidation. In vivo studies revealed the firing pattern of distinct cell types during SWR activity, but several questions concerning the generation of SWRs are still open. Our goal is to reveal the mechanisms of SWR initiation, termination and ripple genesis. To understand how SWRs are initiated we examined how the activity of inhibitory and excitatory neurons changes during different phases of SWRs by recording EPSCs/IPSCs from neurons of the CA3 area in vitro. Excitatory activity increases ~60 msec before SWR peak. Inhibitory cells are activated ~20 msec later, quickly overshoot pyramidal cell (PC) activity and start to ripple-phase modulate cellular firing. The initiation of SWRs can be explained by a mixed stochastic/refractory model.To dissect LFP generators in stratum pyr. during SWRs, we used local drog applicaitons, without influencing global network activity. Blockade of inhibition in str. pyr. by local puff application of Gabazine or Agatoxin proved that SWR field generation and ripple phase locking of cellular firing is driven by parvalbumin positive perisomatic cells (PVCs). Modelling studies have shown, that interconnected network of interneurons driven with excitation, can generate high frequency oscillations. From PVCs only fast spiking basket cells (FSBCs) are interconnected and fire 4-5 action potentials (APs) during SWRs suitable for ripple generation. A small cut that selectively severs horizontally running FSBC axons and thus mutual connectivity between two subset of cells, introduced a jitter in SWR timing, and abolished ripple synchorny on the two sides of the cut. Furthermore FSBCs desynschronised and increased their firing for somatic Gabazine puff. SWR termination might be the result of the short-term synaptic depression observed in the inhibitory transmission of PVCs onto PCs. Manipulating the firing pattern and the release probability of PVCs by bath application of Riluzole and DAMGO we checked the validity of this mechanism. Riluzole reduced the number of FSBC APs from 4-5 to 1-2 (had no effect on other cell types), shortened SWRs and decreased the number of ripple cycles from 4-5 to 2 with a curtailed period of multiunit (MU) firing. DAMGO that decreases release probability and short-term depression of PVCs eliminated ripple osciallation and phase-locking of MU firing, while prolonged SWRs along with MU.</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90561">
    <w:multiLevelType w:val="hybridMultilevel"/>
    <w:lvl w:ilvl="0" w:tplc="764178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90561">
    <w:abstractNumId w:val="810905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16406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