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MIHAIL TODOROV IVILINOV</w:t>
            </w:r>
          </w:p>
          <w:p w:rsidR="00C275A3" w:rsidRDefault="00A96AEC" w:rsidP="00C275A3">
            <w:pPr>
              <w:pStyle w:val="Hallgatokepzes"/>
            </w:pPr>
            <w:r>
              <w:t>Biologist</w:t>
            </w:r>
            <w:r>
              <w:br/>
            </w:r>
            <w:r w:rsidR="00E77B23">
              <w:t>BSc, 3. semester</w:t>
            </w:r>
          </w:p>
          <w:p w:rsidR="00C265CE" w:rsidRPr="009E5FF1" w:rsidRDefault="00E77B23" w:rsidP="00C275A3">
            <w:pPr>
              <w:pStyle w:val="Hallgatokepzes"/>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Juhász</w:t>
            </w:r>
          </w:p>
          <w:p w:rsidR="00DB4822" w:rsidRDefault="00DB4822" w:rsidP="00E11062">
            <w:pPr>
              <w:pStyle w:val="Konzulensek"/>
            </w:pPr>
            <w:r w:rsidRPr="00DB4822">
              <w:t>senior research fellow,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Changes of the stimulus-induced coupling between the retina and the visual cortex versus the stimulus parameters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Gamma frequency EEG oscillations make time-locked binding between functionally separate brain regions. In our experiments we studied the gamma range (30 – 70 Hz) oscillatory potentials (OP) in freely moving, adult Sprague-Dawley rats. We measured the OP’s dependency of stimulus duration (0,01 – 1000 msec), stimulus intensity (800 – 5000 mcd/mm</w:t>
      </w:r>
      <w:r>
        <w:rPr>
          <w:color w:val="000000"/>
          <w:position w:val="4"/>
          <w:sz w:val="21"/>
          <w:szCs w:val="21"/>
          <w:vertAlign w:val="superscript"/>
        </w:rPr>
        <w:t xml:space="preserve">2</w:t>
      </w:r>
      <w:r>
        <w:rPr>
          <w:color w:val="000000"/>
          <w:sz w:val="24"/>
          <w:szCs w:val="24"/>
        </w:rPr>
        <w:t xml:space="preserve">), interstimulus intervallum (10 – 400 msec) and stimulus frequency (0,25 – 25 Hz) in the visual system. Our results show that OP activity in the retina and the visual cortex serves as coupling between the two regions. We showed that OP’s reflect changes of the stimuli - a constant latency is present between the OPs in the retina and in the cortex (4 ± 1 msec) – and that at distinct stimulus frequency the retina changes from single flash mode into steady state mode. There are several theories of definitions and functions of coupling. Our results suggest that the OP’s function is synchronizing the information exchange between the retina and the cortex, similarly to the cortical gamma activity.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3617145">
    <w:multiLevelType w:val="hybridMultilevel"/>
    <w:lvl w:ilvl="0" w:tplc="69269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3617145">
    <w:abstractNumId w:val="53617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00433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