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GÁBOR HUBAI</w:t>
            </w:r>
          </w:p>
          <w:p w:rsidR="00C275A3" w:rsidRDefault="00A96AEC" w:rsidP="00C275A3">
            <w:pPr>
              <w:pStyle w:val="Hallgatokepzes"/>
            </w:pPr>
            <w:r>
              <w:t>Biologist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Oborny PhD</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Competition-Colonization Tradeoff in Clonal Plant Strategies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essential resources of plants are distributed heterogeneously in the soil. Lush patches sustain physiological individuals (ramets); outside of these survival requires specific strategies. Integration, the redistribution of resources among the connected ramets, in vegetatively reproducing (clonal) plants is one such strategy. This allows the utilization of poor patches through alleviating the effect of environmental patchiness. But the extra biomass achieved this way might come at a great price: individuals foregoing integration (splitters) exploiting local resources all by themselves can easily outcompete integrators in the lush patches, and without their rich hinterland, integrators die out.</w:t>
      </w:r>
    </w:p>
    <w:p>
      <w:pPr>
        <w:pBdr/>
        <w:spacing w:before="240" w:after="240" w:line="240" w:lineRule="auto"/>
        <w:ind w:left="0" w:right="0"/>
        <w:jc w:val="left"/>
      </w:pPr>
      <w:r>
        <w:rPr>
          <w:color w:val="000000"/>
          <w:sz w:val="24"/>
          <w:szCs w:val="24"/>
        </w:rPr>
        <w:t xml:space="preserve">We assumed that the main benefit of integration lies in the availability of lush patches that are only accessible through harsh pathways, thus effectively unreachable by splitters. We used a cellular automaton model to analyze the spatial structure of the soil as a function of the lush fraction of area (p). We found that a) small (s&lt;4) patches obstructing splitters disappear at p&gt;60%; b) the availability of a second patch in the immediate neighborhood (d=1) of 95% of patches at p&gt;20% helps the spread of integrators; c) above the percolation threshold (p=50%) the colonizable patches in the intermediate neighborhood (d&lt;5) of ramets disappear (&lt;10%). Our results suggest that on soils slightly poor in resources (20%&lt;p&lt;50%) the real advantage of the integrator strategy is that while the landscape is fragmented for splitters, it is still permeable for integrators.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42123">
    <w:multiLevelType w:val="hybridMultilevel"/>
    <w:lvl w:ilvl="0" w:tplc="47933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42123">
    <w:abstractNumId w:val="19442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402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