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ODETT LUKÁCS</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Csörgő</w:t>
            </w:r>
          </w:p>
          <w:p w:rsidR="00DB4822" w:rsidRDefault="00DB4822" w:rsidP="00E11062">
            <w:pPr>
              <w:pStyle w:val="Konzulensek"/>
            </w:pPr>
            <w:r w:rsidRPr="00DB4822">
              <w:t>  junior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results of the Constant Effort Sites until now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Constant Effort Sites (CES) Ringing Scheme was started by the British Trust for Ornithology (BTO) in Britain and Ireland in 1983. Later other countries have joined this program, among other things Hungary in 2004. The CES Scheme’s main aims are to monitor the stock of the songbirds breeding on the given area, to examine the young and the old birds’ survival rates, in addition, measuring the fidelity of some species to the breeding territory. Collecting data happens with catching the birds with mist net in the spring and in the early summer time and ringing them on the basis of a strict protocol.</w:t>
      </w:r>
    </w:p>
    <w:p>
      <w:pPr>
        <w:pBdr/>
        <w:spacing w:before="240" w:after="240" w:line="240" w:lineRule="auto"/>
        <w:ind w:left="0" w:right="0"/>
        <w:jc w:val="left"/>
      </w:pPr>
      <w:r>
        <w:rPr>
          <w:color w:val="000000"/>
          <w:sz w:val="24"/>
          <w:szCs w:val="24"/>
        </w:rPr>
        <w:t xml:space="preserve">Our country started this program with 14 CE Sites in 2004. The work was going on 26 appreciable sampling places between 2004 and 2011. We processed these data. In all we registered 43379 captures and 9464 recaptures of 79 bird species during the 8 years. We analysed the data with the CESR program developed by the BTO. This program calculates the data with the general linear model’s method. We rated the examined areas into 3 different groups (forest, reeb-bed, mixed), whose species diversity and species content differed largely. We examined the productivity, the adult’s survival rate and the change of the abundance index of the old and young birds. We compared the catching efficiency of the places working with different net-length. We examined the species combination, the similarity and the diversity in different vegetation type CE Sites.</w:t>
      </w:r>
    </w:p>
    <w:p>
      <w:pPr>
        <w:pBdr/>
        <w:spacing w:before="240" w:after="240" w:line="240" w:lineRule="auto"/>
        <w:ind w:left="0" w:right="0"/>
        <w:jc w:val="left"/>
      </w:pPr>
      <w:r>
        <w:rPr>
          <w:color w:val="000000"/>
          <w:sz w:val="24"/>
          <w:szCs w:val="24"/>
        </w:rPr>
        <w:t xml:space="preserve">Because of the relatively short time interval only the species’, captured the most frequently, data lines can be interpreted: Nightingale, Robin, Blackbird, Sedge warbler, Reed warbler, Marsh warbler, Moustached warbler, Chiffchaff, Red-backed shrike, Great tit, Blue tit, Tree sparrow, Chaffinch, Greenfinch, Hawfinch, Reed bunting.</w:t>
      </w:r>
    </w:p>
    <w:p>
      <w:pPr>
        <w:pBdr/>
        <w:spacing w:before="240" w:after="240" w:line="240" w:lineRule="auto"/>
        <w:ind w:left="0" w:right="0"/>
        <w:jc w:val="left"/>
      </w:pPr>
      <w:r>
        <w:rPr>
          <w:color w:val="000000"/>
          <w:sz w:val="24"/>
          <w:szCs w:val="24"/>
        </w:rPr>
        <w:t xml:space="preserve">We could not detect significant trend in case of the old survival rate.</w:t>
      </w:r>
    </w:p>
    <w:p>
      <w:pPr>
        <w:pBdr/>
        <w:spacing w:before="240" w:after="240" w:line="240" w:lineRule="auto"/>
        <w:ind w:left="0" w:right="0"/>
        <w:jc w:val="left"/>
      </w:pPr>
      <w:r>
        <w:rPr>
          <w:color w:val="000000"/>
          <w:sz w:val="24"/>
          <w:szCs w:val="24"/>
        </w:rPr>
        <w:t xml:space="preserve">Examining all of the data the change of abundance index was significant at 8 species. At the Nightingale at both age groups, while at the Marsh warbler, Greenfinch, Hawfinch, Redback shrike can be detected negative trend only in the case of the old birds. At the young birds at the Moustached warbler the change is positive, while it is negative at the Great tit. At the Robin only at old birds can be seen positive connection.</w:t>
      </w:r>
    </w:p>
    <w:p>
      <w:pPr>
        <w:pBdr/>
        <w:spacing w:before="240" w:after="240" w:line="240" w:lineRule="auto"/>
        <w:ind w:left="0" w:right="0"/>
        <w:jc w:val="left"/>
      </w:pPr>
      <w:r>
        <w:rPr>
          <w:color w:val="000000"/>
          <w:sz w:val="24"/>
          <w:szCs w:val="24"/>
        </w:rPr>
        <w:t xml:space="preserve">In the case of productivity there was significant change at a few species. Examining all the habitants in one, at the Reed bunting and Chaffinch the trend is positive, while the change is negative at the Blackbird.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17882">
    <w:multiLevelType w:val="hybridMultilevel"/>
    <w:lvl w:ilvl="0" w:tplc="41025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17882">
    <w:abstractNumId w:val="44117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213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