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MENTES</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Felföldi</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Taxonomic composition of picoplankton in winter algal bloom from soda pan based on the 18S rRNA gene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shallow turbid soda pans located in the Danube-Tisza Interfluve are unique in Europe. They represent significant natural value both in geological and ecological aspects. The soda lakes in the temperate zone are able to dry out completely, but they could be characterized with extreme photoautotropic picoplankton richness (&lt;2μm). Their composition shows seasonal dynamics: cyanobacteria prefer warmer periods while eukaryotic algae dominate in colder periods. The phenotype based identification of picoplankton on the species or genus level is limited because of the scarcity and simplicity of their morphological characteristics, therefore DNA-based methods are commonly used nowadays.</w:t>
      </w:r>
    </w:p>
    <w:p>
      <w:pPr>
        <w:widowControl w:val="on"/>
        <w:pBdr/>
        <w:spacing w:before="240" w:after="240" w:line="240" w:lineRule="auto"/>
        <w:ind w:left="0" w:right="0"/>
        <w:jc w:val="left"/>
      </w:pPr>
      <w:r>
        <w:rPr>
          <w:color w:val="000000"/>
          <w:sz w:val="24"/>
          <w:szCs w:val="24"/>
        </w:rPr>
        <w:t xml:space="preserve">The thesis aims to reveal the species composition of the eukaryotic algal community in a soda water sample taken from Zab-szék on February 2012. A mass production of green algae (bloom) that was among the highest abundance values published was observed on the site. Eukaryotic picoalgae were studied by PCR-based molecular biological techniques and the green algal species were identified by the comparative analysis of 18S rRNA gene sequences. The 90 clones obtained from the community DNA were grouped according to their restriction digestion pattern.</w:t>
      </w:r>
    </w:p>
    <w:p>
      <w:pPr>
        <w:widowControl w:val="on"/>
        <w:pBdr/>
        <w:spacing w:before="240" w:after="240" w:line="240" w:lineRule="auto"/>
        <w:ind w:left="0" w:right="0"/>
        <w:jc w:val="left"/>
      </w:pPr>
      <w:r>
        <w:rPr>
          <w:color w:val="000000"/>
          <w:sz w:val="24"/>
          <w:szCs w:val="24"/>
        </w:rPr>
        <w:t xml:space="preserve">Following the comparison of sequencing results with the GenBank database, the clones have showed low similarity values to the Trebouxiophycean species (Chlorophyta) so far described. So it is likely that new genera or species have caused this extraordinary algal bloom.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07387">
    <w:multiLevelType w:val="hybridMultilevel"/>
    <w:lvl w:ilvl="0" w:tplc="41366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07387">
    <w:abstractNumId w:val="845073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181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