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GAÁL</w:t>
            </w:r>
          </w:p>
          <w:p w:rsidR="00C275A3" w:rsidRDefault="00A96AEC" w:rsidP="00C275A3">
            <w:pPr>
              <w:pStyle w:val="Hallgatokepzes"/>
            </w:pPr>
            <w:r>
              <w:t>International studies</w:t>
            </w:r>
            <w:r>
              <w:br/>
            </w:r>
            <w:r w:rsidR="00E77B23">
              <w:t>BA, 5.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Krisztina Schottner</w:t>
            </w:r>
          </w:p>
          <w:p w:rsidR="00DB4822" w:rsidRDefault="00DB4822" w:rsidP="00E11062">
            <w:pPr>
              <w:pStyle w:val="Konzulensek"/>
            </w:pPr>
            <w:r w:rsidRPr="00DB4822">
              <w:t>associate 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Foreign Direct Investment outflow data from the European Union and the United States of America to Brazil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Brazil became the fourth largest destination for FDI in the world in 2012. Between the United States of America and the European Union, being the two largest investors, a competition started to evolve in order to gain more influence in the region.</w:t>
      </w:r>
      <w:r>
        <w:rPr>
          <w:color w:val="000000"/>
          <w:sz w:val="24"/>
          <w:szCs w:val="24"/>
        </w:rPr>
        <w:br/>
        <w:t xml:space="preserve">After a general presentation of Brazil, the importance of the MEBF and the FTAA negotiations are emphasized considering the competition between the EU and the USA.</w:t>
      </w:r>
      <w:r>
        <w:rPr>
          <w:color w:val="000000"/>
          <w:sz w:val="24"/>
          <w:szCs w:val="24"/>
        </w:rPr>
        <w:br/>
        <w:t xml:space="preserve">It can be demonstrated who has the greater influence by analyzing the values of FDI outflow during the period of 2000 – 2011. Furthermore, the changes of the FDI values are examined in the political and economic aspects too. The negative effects of the presence of FDI in Brazil, meaning the presence European and American companies, are also investigated in this study.</w:t>
      </w:r>
      <w:r>
        <w:rPr>
          <w:color w:val="000000"/>
          <w:sz w:val="24"/>
          <w:szCs w:val="24"/>
        </w:rPr>
        <w:br/>
        <w:t xml:space="preserve">Finally, it can be stated that the European Union has a greater influence in Brazil according to the FDI outflow data. By the year 2011, the EU possesses 3,5 times more FDI in the country than the US. Though there is more resistance amongst the Brazilian population against the US because of the exploitation they do, it turns out the EU performs such a huge devastation in the region. The affected areas are the environment, the natural resources. Moreover, democracy suffers from numerous deals by which the leaders lose their authenticity. On the other hand, President Dilma Rousseff has the plans of prioritizing the relations with both the European Union and the Unites States in the following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41876">
    <w:multiLevelType w:val="hybridMultilevel"/>
    <w:lvl w:ilvl="0" w:tplc="46811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41876">
    <w:abstractNumId w:val="79641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3473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