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GYORFI</w:t>
            </w:r>
          </w:p>
          <w:p w:rsidR="00C275A3" w:rsidRDefault="00A96AEC" w:rsidP="00C275A3">
            <w:pPr>
              <w:pStyle w:val="Hallgatokepzes"/>
            </w:pPr>
            <w:r>
              <w:t>politology</w:t>
            </w:r>
            <w:r>
              <w:br/>
            </w:r>
            <w:r w:rsidR="00E77B23">
              <w:t>BA, 7.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Hubai</w:t>
            </w:r>
          </w:p>
          <w:p w:rsidR="00DB4822" w:rsidRDefault="00DB4822" w:rsidP="00E11062">
            <w:pPr>
              <w:pStyle w:val="Konzulensek"/>
            </w:pPr>
            <w:r w:rsidRPr="00DB4822">
              <w:t>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Candidate censuses - restricting eligibility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Candidate censuses - restricting eligibility</w:t>
      </w:r>
    </w:p>
    <w:p>
      <w:pPr>
        <w:pBdr/>
        <w:spacing w:before="240" w:after="240" w:line="240" w:lineRule="auto"/>
        <w:ind w:left="0" w:right="0"/>
        <w:jc w:val="left"/>
      </w:pPr>
      <w:r>
        <w:rPr>
          <w:color w:val="000000"/>
          <w:sz w:val="24"/>
          <w:szCs w:val="24"/>
        </w:rPr>
        <w:t xml:space="preserve">This paper asks for answer of the (researcher) question how do fundamental rights as eligibility appear in Community Value such as European Union (EU)? What similarities and differences can be discovered between (legal) regulations of the member states? In the first part of my dissertation, I analyzed in what form electoral censuses appear in elections.</w:t>
      </w:r>
    </w:p>
    <w:p>
      <w:pPr>
        <w:pBdr/>
        <w:spacing w:before="240" w:after="240" w:line="240" w:lineRule="auto"/>
        <w:ind w:left="0" w:right="0"/>
        <w:jc w:val="left"/>
      </w:pPr>
      <w:r>
        <w:rPr>
          <w:color w:val="000000"/>
          <w:sz w:val="24"/>
          <w:szCs w:val="24"/>
        </w:rPr>
        <w:t xml:space="preserve">And, in the second part of the paper I compared censuses with each other. In line with this, censuses used in Hungary are surveyed, so they can be comparable in the European ambience. Furthermore, past candidate censuses of Hungary are introduced.</w:t>
      </w:r>
    </w:p>
    <w:p>
      <w:pPr>
        <w:pBdr/>
        <w:spacing w:before="240" w:after="240" w:line="240" w:lineRule="auto"/>
        <w:ind w:left="0" w:right="0"/>
        <w:jc w:val="left"/>
      </w:pPr>
      <w:r>
        <w:rPr>
          <w:color w:val="000000"/>
          <w:sz w:val="24"/>
          <w:szCs w:val="24"/>
        </w:rPr>
        <w:t xml:space="preserve">The(se) censuses not just surveyed, but appraised: how democratic and acceptable they qualified in present day. As it remains be seen, proportional election systems are less democratic than simple majorities.</w:t>
      </w:r>
    </w:p>
    <w:p>
      <w:pPr>
        <w:pBdr/>
        <w:spacing w:before="240" w:after="240" w:line="240" w:lineRule="auto"/>
        <w:ind w:left="0" w:right="0"/>
        <w:jc w:val="left"/>
      </w:pPr>
      <w:r>
        <w:rPr>
          <w:color w:val="000000"/>
          <w:sz w:val="24"/>
          <w:szCs w:val="24"/>
        </w:rPr>
        <w:t xml:space="preserve">Finally, the conclusion of the author can be read, what lessons did he learnt during the analysis, which precedence’s should be followed in the future and which ones should be forborne when creating new eligibility.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86947">
    <w:multiLevelType w:val="hybridMultilevel"/>
    <w:lvl w:ilvl="0" w:tplc="38884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86947">
    <w:abstractNumId w:val="58786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186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