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KIRÁLY</w:t>
            </w:r>
          </w:p>
          <w:p w:rsidR="00C275A3" w:rsidRDefault="00A96AEC" w:rsidP="00C275A3">
            <w:pPr>
              <w:pStyle w:val="Hallgatokepzes"/>
            </w:pPr>
            <w:r>
              <w:t>Kindergarten Teacher</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Szenczi</w:t>
            </w:r>
          </w:p>
          <w:p w:rsidR="00DB4822" w:rsidRDefault="00DB4822" w:rsidP="00E11062">
            <w:pPr>
              <w:pStyle w:val="Konzulensek"/>
            </w:pPr>
            <w:r w:rsidRPr="00DB4822">
              <w:t>Dean, KRE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Kodály based musical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musical lover person, I often thought about what would the old composers of contemporary music styles. What kind of musical culture is in Hungary nowadays? Or can we talk about it at all? Zoltán Kodály's method is more well-known and perhaps more frequently used abroad than is his own country. What was the purpose of collecting the policies thet he considered to be useful and usable for helping the musical education of Hungarian youth? What does that method mean that for an average person solmisation comes to mind? What happened to the choirs whose work was so important for Kodály?</w:t>
      </w:r>
    </w:p>
    <w:p>
      <w:pPr>
        <w:widowControl w:val="on"/>
        <w:pBdr/>
        <w:spacing w:before="240" w:after="240" w:line="240" w:lineRule="auto"/>
        <w:ind w:left="0" w:right="0"/>
        <w:jc w:val="left"/>
      </w:pPr>
      <w:r>
        <w:rPr>
          <w:color w:val="000000"/>
          <w:sz w:val="24"/>
          <w:szCs w:val="24"/>
        </w:rPr>
        <w:br/>
        <w:t xml:space="preserve">I didn't want to present this kind of method during my research. I would like to introduce Kodály's fundamental reform-pedagogy. I examined some of Kodály's students' autobiography - without the claim of completeness - and looked for the common pieces. I wanted to examine how these students use Kodály's recommendations in practice. How they forming to theer own style, those who were commited to musical educations.</w:t>
      </w:r>
    </w:p>
    <w:p>
      <w:pPr>
        <w:widowControl w:val="on"/>
        <w:pBdr/>
        <w:spacing w:before="240" w:after="240" w:line="240" w:lineRule="auto"/>
        <w:ind w:left="0" w:right="0"/>
        <w:jc w:val="left"/>
      </w:pPr>
      <w:r>
        <w:rPr>
          <w:color w:val="000000"/>
          <w:sz w:val="24"/>
          <w:szCs w:val="24"/>
        </w:rPr>
        <w:br/>
        <w:t xml:space="preserve">In my work I began asking many questions for myself. Most of these questions are still not answered, but in my opinion I can only answer these as a practising teacher.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27340">
    <w:multiLevelType w:val="hybridMultilevel"/>
    <w:lvl w:ilvl="0" w:tplc="35415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27340">
    <w:abstractNumId w:val="90827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60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