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SZABOLCS GONDA</w:t>
            </w:r>
          </w:p>
          <w:p w:rsidR="00C275A3" w:rsidRDefault="00A96AEC" w:rsidP="00C275A3">
            <w:pPr>
              <w:pStyle w:val="Hallgatokepzes"/>
            </w:pPr>
            <w:r>
              <w:t>Marketing MSc</w:t>
            </w:r>
            <w:r>
              <w:br/>
            </w:r>
            <w:r w:rsidR="00E77B23">
              <w:t>MSc, 2.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Mónika Fodor</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the music subcultures to the consumer behaviour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target of my research is to find: what kind of influence has the musical subcultures refer to the habits, attitude, and consumer behaviour of individuals. What type of values do they think about music styles? Why we choose different musical groups? Besides it, I would like to get answers to what kind of decisions do we make - in the aspect of consumption -, when we prefer, follow or decline a particular group/cluster. I use hungarian and foreign studies and sources (follow the historical chronology, with mentioning the major musical eras) to prove the questions, answers and the goals of this research. My study includes informations from offline and online resources, in addition, my own research containing four focusgroup interviews, which help making a comprehensive view about the opinion, consumer behaviour and musical preferences of hungarian youth.</w:t>
      </w:r>
    </w:p>
    <w:p>
      <w:pPr>
        <w:pBdr/>
        <w:spacing w:before="240" w:after="240" w:line="240" w:lineRule="auto"/>
        <w:ind w:left="0" w:right="0"/>
        <w:jc w:val="left"/>
      </w:pPr>
      <w:r>
        <w:rPr>
          <w:color w:val="000000"/>
          <w:sz w:val="24"/>
          <w:szCs w:val="24"/>
        </w:rPr>
        <w:t xml:space="preserve">I probably use BTL assets to reach these groups. Naturally, the marketing communicational methods of particular musical genres could be different, considering for instance: age, values. Mainly, the younger generation is more reachable in consuming (clothing for example), the major communicational place is the Internet. In mature and older ages, these factors have less effects, musical scenes have much less influence, the more insistence can be found to musical genres in the aspect of personal values and attitude. The self-expression, self-actualisation are dominating in the youth, social attributes are not determining, for example the family does not have significant effect in the progress of choice of music style or cluster. Behaviour specialities, lifestyles can be matched to every music genre. These factors account for the different preferences of musical subcultures.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59039">
    <w:multiLevelType w:val="hybridMultilevel"/>
    <w:lvl w:ilvl="0" w:tplc="58359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59039">
    <w:abstractNumId w:val="38059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227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