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ILYÉS</w:t>
            </w:r>
          </w:p>
          <w:p w:rsidR="00C275A3" w:rsidRDefault="00A96AEC" w:rsidP="00C275A3">
            <w:pPr>
              <w:pStyle w:val="Hallgatokepzes"/>
            </w:pPr>
            <w:r>
              <w:t>BA in Internation Business Administration</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Ferkelt</w:t>
            </w:r>
          </w:p>
          <w:p w:rsidR="00DB4822" w:rsidRDefault="00DB4822" w:rsidP="00E11062">
            <w:pPr>
              <w:pStyle w:val="Konzulensek"/>
            </w:pPr>
            <w:r w:rsidRPr="00DB4822">
              <w:t>associate professor, BGF KKK</w:t>
            </w:r>
          </w:p>
        </w:tc>
      </w:tr>
      <w:tr w:rsidR="00DB4822" w:rsidTr="00DB4822">
        <w:tc>
          <w:tcPr>
            <w:tcW w:w="9854" w:type="dxa"/>
          </w:tcPr>
          <w:p w:rsidR="00DB4822" w:rsidRPr="00DB4822" w:rsidRDefault="00DB4822" w:rsidP="004D7940">
            <w:pPr>
              <w:pStyle w:val="Konzulensek"/>
            </w:pPr>
            <w:r w:rsidRPr="00DB4822">
              <w:t>Dr. Emese Ilyés-Molnár</w:t>
            </w:r>
          </w:p>
          <w:p w:rsidR="00DB4822" w:rsidRDefault="00DB4822" w:rsidP="00E11062">
            <w:pPr>
              <w:pStyle w:val="Konzulensek"/>
            </w:pPr>
            <w:r w:rsidRPr="00DB4822">
              <w:t>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Hungary’s comparative advantages and place in the european division of labor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followed the theorem of ricardian comparative advantages to compute that how did the European and global integration of the Hungarian economy aid the expansion of the domestic production possibilities and the increase of the living standard.</w:t>
      </w:r>
    </w:p>
    <w:p>
      <w:pPr>
        <w:pBdr/>
        <w:spacing w:before="240" w:after="240" w:line="240" w:lineRule="auto"/>
        <w:ind w:left="0" w:right="0"/>
        <w:jc w:val="left"/>
      </w:pPr>
      <w:r>
        <w:rPr>
          <w:color w:val="000000"/>
          <w:sz w:val="24"/>
          <w:szCs w:val="24"/>
        </w:rPr>
        <w:t xml:space="preserve">In the last half century the supporters of free trade has successfully decreased average worldwide customs to such a low level that it is incapable of defending domestic economies. The first scientific proof of the advantages of free trade was created by David Ricardo in 1817. In the last two centuries it has become one of the strongest arguments for the political and scientific supporters of free trade. On the other hand in parallel there have been few empirical evidences of the actual advantages of Ricardo’s entirely theoretical argument, whether this effect realised or has been positive.</w:t>
      </w:r>
    </w:p>
    <w:p>
      <w:pPr>
        <w:pBdr/>
        <w:spacing w:before="240" w:after="240" w:line="240" w:lineRule="auto"/>
        <w:ind w:left="0" w:right="0"/>
        <w:jc w:val="left"/>
      </w:pPr>
      <w:r>
        <w:rPr>
          <w:color w:val="000000"/>
          <w:sz w:val="24"/>
          <w:szCs w:val="24"/>
        </w:rPr>
        <w:t xml:space="preserve">In my research I used the Hungarian Input-Output tables to analyse and quantify the effect of the successful European integration of the Hungarian economy following the change of regime in 1990. I compute its effect on the standard of living between the change of regime in 1990 and Hungary’s the acceptance into the European Union in 2004. I compared the different models using factor breakdown, I separated the effect of the change in efficiency and the effect of the change in international exchange. In my calculations I used the input-output tables of the years 1998, 2000 and 2005. I compared the results with the other European countries as well.</w:t>
      </w:r>
    </w:p>
    <w:p>
      <w:pPr>
        <w:pBdr/>
        <w:spacing w:before="240" w:after="240" w:line="240" w:lineRule="auto"/>
        <w:ind w:left="0" w:right="0"/>
        <w:jc w:val="left"/>
      </w:pPr>
      <w:r>
        <w:rPr>
          <w:color w:val="000000"/>
          <w:sz w:val="24"/>
          <w:szCs w:val="24"/>
        </w:rPr>
        <w:t xml:space="preserve">In my paper I extended the research of Hungary’s foreign trade relations to a model contains all the major countries of the European Union. With a linear programming production model I analysed a theoretical division of labour in the European Union what uses every countries’ comparative advantages to full extent and searches an optimal structure for the entire European Union.</w:t>
      </w:r>
    </w:p>
    <w:p>
      <w:pPr>
        <w:pBdr/>
        <w:spacing w:before="240" w:after="240" w:line="240" w:lineRule="auto"/>
        <w:ind w:left="0" w:right="0"/>
        <w:jc w:val="left"/>
      </w:pPr>
      <w:r>
        <w:rPr>
          <w:color w:val="000000"/>
          <w:sz w:val="24"/>
          <w:szCs w:val="24"/>
        </w:rPr>
        <w:t xml:space="preserve">In my research I drawn the conclusion that the Hungarian economy was not able to build on its comparative advantages during the change of the structure of foreign trade relations and that a change in this structure could contribute to the growth of the domestic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95967">
    <w:multiLevelType w:val="hybridMultilevel"/>
    <w:lvl w:ilvl="0" w:tplc="15272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95967">
    <w:abstractNumId w:val="68495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5403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