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TOMANOVICS</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Gyulai, Dr.</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stock market indices between 2000 and 2011 in the Visegrad Four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performance of stock markets is basically measured by using indices. Stock market indices are established from different securities, mostly from shares. In the Visegrad Four, namely Hungary, Slovakia, Czech Republic and Poland, it is evolved the same way.</w:t>
      </w:r>
    </w:p>
    <w:p>
      <w:pPr>
        <w:pBdr/>
        <w:spacing w:before="240" w:after="240" w:line="240" w:lineRule="auto"/>
        <w:ind w:left="0" w:right="0"/>
        <w:jc w:val="left"/>
      </w:pPr>
      <w:r>
        <w:rPr>
          <w:color w:val="000000"/>
          <w:sz w:val="24"/>
          <w:szCs w:val="24"/>
        </w:rPr>
        <w:t xml:space="preserve">The research has two main questions. Does the main stock market indices of the V4 moved along during the period under review? I examine within this, after Slovakia had joined the euro area on 1st January 2009, if there were any changes in the relationship between the indices. Another main area being examined is the relationship between the economic growth of each country and the indices. I used the Gross Domestic Product to express the economic growth. After that I looked at the ratio of the market capitalization and GDP at the various countries. This is a typical indicator, which shows that the stock market is under or overvalued. The results show an interesting picture, and I tried to uncover the reasons of them.</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18623">
    <w:multiLevelType w:val="hybridMultilevel"/>
    <w:lvl w:ilvl="0" w:tplc="42026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18623">
    <w:abstractNumId w:val="44818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871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