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RIGÓ VANESSZA</w:t>
            </w:r>
          </w:p>
          <w:p w:rsidR="00C275A3" w:rsidRDefault="00A96AEC" w:rsidP="00C275A3">
            <w:pPr>
              <w:pStyle w:val="Hallgatokepzes"/>
            </w:pPr>
            <w:r>
              <w:t>igazgatásszervező</w:t>
            </w:r>
            <w:r>
              <w:br/>
            </w:r>
            <w:r w:rsidR="00E77B23">
              <w:t>BA, 5. félév</w:t>
            </w:r>
          </w:p>
          <w:p w:rsidR="00C265CE" w:rsidRPr="009E5FF1" w:rsidRDefault="00E77B23" w:rsidP="00C275A3">
            <w:pPr>
              <w:pStyle w:val="Hallgatokepzes"/>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Horváth Attila</w:t>
            </w:r>
          </w:p>
          <w:p w:rsidR="00DB4822" w:rsidRDefault="00DB4822" w:rsidP="00E11062">
            <w:pPr>
              <w:pStyle w:val="Konzulensek"/>
            </w:pPr>
            <w:r w:rsidRPr="00DB4822">
              <w:t>tanársegéd,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Vétó, mint államfői jogkör összehasonlítása Közép-Európában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országok államfői széles jogkörrel rendelkeznek, s ha ezeket górcső alá vesszük, minden hatalmi ág között fellelhetünk legalább egy összeköttetési pontot, egy olyan kapcsolatot, mely valamely szempontból meghatározhatja a köztársasági elnök szerepét akár hivatalából adódóan, akár a hatalmi ágak ellensúlyozásaként.</w:t>
      </w:r>
    </w:p>
    <w:p>
      <w:pPr>
        <w:pBdr/>
        <w:spacing w:before="240" w:after="240" w:line="240" w:lineRule="auto"/>
        <w:ind w:left="0" w:right="0"/>
        <w:jc w:val="left"/>
      </w:pPr>
      <w:r>
        <w:rPr>
          <w:color w:val="000000"/>
          <w:sz w:val="24"/>
          <w:szCs w:val="24"/>
        </w:rPr>
        <w:t xml:space="preserve">Az igazságszolgáltatás terén a bírák kinevezése, a végrehajtás esetében a miniszterek kinevezése, a díjak és kitüntetések adományozása, míg a törvényhozással a vétó intézménye lehet a kapocs.</w:t>
      </w:r>
    </w:p>
    <w:p>
      <w:pPr>
        <w:pBdr/>
        <w:spacing w:before="240" w:after="240" w:line="240" w:lineRule="auto"/>
        <w:ind w:left="0" w:right="0"/>
        <w:jc w:val="left"/>
      </w:pPr>
      <w:r>
        <w:rPr>
          <w:color w:val="000000"/>
          <w:sz w:val="24"/>
          <w:szCs w:val="24"/>
        </w:rPr>
        <w:t xml:space="preserve">Véleményem szerint ez utóbbi jelentősen befolyásolhatja az elnök erősségének behatárolását, ugyanis a vétó alkalmazása során közvetlenül belefolyhat a jogalkotás folyamatába, ütközési pontja lehet, és akár meg is akadályozhatja az adott jogszabály létrejöttét, így lényegében kontrollt gyakorol a jogalkotás felett, mely növeli hatalmának intenzitását. Ezen intézmény jelenléte tehát kibillentheti az elnököt reprezentatív szerepköréből.</w:t>
      </w:r>
    </w:p>
    <w:p>
      <w:pPr>
        <w:pBdr/>
        <w:spacing w:before="240" w:after="240" w:line="240" w:lineRule="auto"/>
        <w:ind w:left="0" w:right="0"/>
        <w:jc w:val="left"/>
      </w:pPr>
      <w:r>
        <w:rPr>
          <w:color w:val="000000"/>
          <w:sz w:val="24"/>
          <w:szCs w:val="24"/>
        </w:rPr>
        <w:t xml:space="preserve">Mivel az államfői jogkorok nagyon széles skálán mozognak, dolgozatom során arra vállalkoztam, hogy mindössze egy szeletét, az államfői vétót emeljem ki, és járjam körül több, általam meghatározott szempontok alapján. Mindezt jelentősebb szemléltetésként nem csupán Magyarország keretein belül tettem, hanem próbáltam kitekinteni a határokon túlra is, és megvizsgálni a vétó intézményét Csehországban, Lengyelországban, Szlovákiában és Németországban nem csupán az elméletben, hanem a gyakorlatban is. A vizsgálat során megmutatkozik, hogy a jogalkotási folyamat kulcsszereplőjeként aktív kontrollt gyakorol, ellenőrzést végez a törvényhozó hatalom felett.</w:t>
      </w:r>
    </w:p>
    <w:p>
      <w:pPr>
        <w:pBdr/>
        <w:spacing w:before="240" w:after="240" w:line="240" w:lineRule="auto"/>
        <w:ind w:left="0" w:right="0"/>
        <w:jc w:val="left"/>
      </w:pPr>
      <w:r>
        <w:rPr>
          <w:color w:val="000000"/>
          <w:sz w:val="24"/>
          <w:szCs w:val="24"/>
        </w:rPr>
        <w:t xml:space="preserve">A vétó gyakorlatban történő megjelenéseinek eseteiben megfigyelhető, hogy az elnök nem csupán hivatalából adódó egyik legfontosabb jogkörével él, hanem a politikai élet színterének aktív szereplőjévé válik. Mindezek során felmerülhet a kérdés: megkérdőjelezheti-e köztársasági elnök neutralitását a vétó intézményének gyakori alkalmazása? Befolyásolhatja-e aktivitását megválasztásának módja? Lehet-e semlegesíteni az államfői vétót?</w:t>
      </w:r>
    </w:p>
    <w:p>
      <w:pPr>
        <w:pBdr/>
        <w:spacing w:before="240" w:after="240" w:line="240" w:lineRule="auto"/>
        <w:ind w:left="0" w:right="0"/>
        <w:jc w:val="left"/>
      </w:pPr>
      <w:r>
        <w:rPr>
          <w:color w:val="000000"/>
          <w:sz w:val="24"/>
          <w:szCs w:val="24"/>
        </w:rPr>
        <w:t xml:space="preserve">A történetileg visszavezethető uralkodói jogkör ma a demokratikus működés fő garanciájaként funkcionálhat, szerepe elengedhetetlen a törvények megalkotása esetén akár alkotmányos szűrő, akár tartalmi, formai megvitatás szempontjából.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39255">
    <w:multiLevelType w:val="hybridMultilevel"/>
    <w:lvl w:ilvl="0" w:tplc="93514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39255">
    <w:abstractNumId w:val="75439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530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