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GREFF</w:t>
            </w:r>
          </w:p>
          <w:p w:rsidR="00C275A3" w:rsidRDefault="00A96AEC" w:rsidP="00C275A3">
            <w:pPr>
              <w:pStyle w:val="Hallgatokepzes"/>
            </w:pPr>
            <w:r>
              <w:t>Finance and Accountancy</w:t>
            </w:r>
            <w:r>
              <w:br/>
            </w:r>
            <w:r w:rsidR="00E77B23">
              <w:t>BA, 7.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Kovácsné Dr. Sipos Ágnes Margit</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correspondence between the tax burden and tax compliance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research the relationships between the tax burden and tax compliance. A fundamental question is how the tax burden affect tax compliance.</w:t>
      </w:r>
    </w:p>
    <w:p>
      <w:pPr>
        <w:pBdr/>
        <w:spacing w:before="240" w:after="240" w:line="240" w:lineRule="auto"/>
        <w:ind w:left="0" w:right="0"/>
        <w:jc w:val="left"/>
      </w:pPr>
      <w:r>
        <w:rPr>
          <w:color w:val="000000"/>
          <w:sz w:val="24"/>
          <w:szCs w:val="24"/>
        </w:rPr>
        <w:t xml:space="preserve">Basic assumption, I want to show the growth of tax burden (to a certain degree) makes improvement of social morality, but not in individual morality. The relatively well-defined level of the tax burden for individuals, and society as a negative attitude to pay taxes.</w:t>
      </w:r>
    </w:p>
    <w:p>
      <w:pPr>
        <w:pBdr/>
        <w:spacing w:before="240" w:after="240" w:line="240" w:lineRule="auto"/>
        <w:ind w:left="0" w:right="0"/>
        <w:jc w:val="left"/>
      </w:pPr>
      <w:r>
        <w:rPr>
          <w:color w:val="000000"/>
          <w:sz w:val="24"/>
          <w:szCs w:val="24"/>
        </w:rPr>
        <w:t xml:space="preserve">I made temporal and spatial evolution to present the development of tax burden. In temporal comparisons, I wanted to show the development of the tax burden of the Hungarian history. In addition, I considered it important to make a brief international perspective that we can measure the actual amount of current Hungarian tax burden.</w:t>
      </w:r>
    </w:p>
    <w:p>
      <w:pPr>
        <w:pBdr/>
        <w:spacing w:before="240" w:after="240" w:line="240" w:lineRule="auto"/>
        <w:ind w:left="0" w:right="0"/>
        <w:jc w:val="left"/>
      </w:pPr>
      <w:r>
        <w:rPr>
          <w:color w:val="000000"/>
          <w:sz w:val="24"/>
          <w:szCs w:val="24"/>
        </w:rPr>
        <w:t xml:space="preserve">To illustrate tax compliance, more difficult than the tax burden, it is difficult to quantify, measure, made tangible. Therefore, I have introduced the concept of willingness to pay.</w:t>
      </w:r>
    </w:p>
    <w:p>
      <w:pPr>
        <w:pBdr/>
        <w:spacing w:before="240" w:after="240" w:line="240" w:lineRule="auto"/>
        <w:ind w:left="0" w:right="0"/>
        <w:jc w:val="left"/>
      </w:pPr>
      <w:r>
        <w:rPr>
          <w:color w:val="000000"/>
          <w:sz w:val="24"/>
          <w:szCs w:val="24"/>
        </w:rPr>
        <w:t xml:space="preserve">Consequently, the most important finding is, there is an inverse relationship between tax burden and the tax compliance. It is very important that tax compliance examination of individuals or society because it does not relate same to the taxation.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27166">
    <w:multiLevelType w:val="hybridMultilevel"/>
    <w:lvl w:ilvl="0" w:tplc="53232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27166">
    <w:abstractNumId w:val="49427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065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